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6.8.0.0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1" name=""/>
                  <wp:cNvGraphicFramePr/>
                  <a:graphic xmlns:a="http://schemas.openxmlformats.org/drawingml/2006/main">
                    <a:graphicData uri="http://schemas.openxmlformats.org/drawingml/2006/picture">
                      <pic:pic xmlns:pic="http://schemas.openxmlformats.org/drawingml/2006/picture">
                        <pic:nvPicPr>
                          <pic:cNvPr id="896652340" name=""/>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2" name=""/>
                  <wp:cNvGraphicFramePr/>
                  <a:graphic xmlns:a="http://schemas.openxmlformats.org/drawingml/2006/main">
                    <a:graphicData uri="http://schemas.openxmlformats.org/drawingml/2006/picture">
                      <pic:pic xmlns:pic="http://schemas.openxmlformats.org/drawingml/2006/picture">
                        <pic:nvPicPr>
                          <pic:cNvPr id="416956880" name=""/>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2014 - 2020</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 и храните.</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1.4</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Прието от ЕК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28/05/2015 - 13:51:45 CEST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Calibri" w:hAnsi="Calibri"/>
          <w:noProof/>
          <w:sz w:val="22"/>
        </w:rPr>
      </w:pPr>
      <w:r>
        <w:fldChar w:fldCharType="begin"/>
      </w:r>
      <w:r>
        <w:instrText>TOC \o "1-3" \h \z \u</w:instrText>
      </w:r>
      <w:r>
        <w:fldChar w:fldCharType="separate"/>
      </w:r>
      <w:r>
        <w:fldChar w:fldCharType="begin"/>
      </w:r>
      <w:r>
        <w:instrText xml:space="preserve"> HYPERLINK \l "_Toc256000000" </w:instrText>
      </w:r>
      <w:r>
        <w:fldChar w:fldCharType="separate"/>
      </w:r>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13</w:t>
      </w:r>
      <w:r>
        <w:fldChar w:fldCharType="end"/>
      </w:r>
      <w:r>
        <w:fldChar w:fldCharType="end"/>
      </w:r>
    </w:p>
    <w:p>
      <w:pPr>
        <w:pStyle w:val="TOC1"/>
        <w:rPr>
          <w:rFonts w:ascii="Calibri" w:hAnsi="Calibri"/>
          <w:noProof/>
          <w:sz w:val="22"/>
        </w:rPr>
      </w:pPr>
      <w:r>
        <w:fldChar w:fldCharType="begin"/>
      </w:r>
      <w:r>
        <w:instrText xml:space="preserve"> HYPERLINK \l "_Toc256000001" </w:instrText>
      </w:r>
      <w:r>
        <w:fldChar w:fldCharType="separate"/>
      </w:r>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_Toc256000001 \h </w:instrText>
      </w:r>
      <w:r>
        <w:fldChar w:fldCharType="separate"/>
      </w:r>
      <w:r>
        <w:t>13</w:t>
      </w:r>
      <w:r>
        <w:fldChar w:fldCharType="end"/>
      </w:r>
      <w:r>
        <w:fldChar w:fldCharType="end"/>
      </w:r>
    </w:p>
    <w:p>
      <w:pPr>
        <w:pStyle w:val="TOC2"/>
        <w:rPr>
          <w:rFonts w:ascii="Calibri" w:hAnsi="Calibri"/>
          <w:noProof/>
          <w:sz w:val="22"/>
        </w:rPr>
      </w:pPr>
      <w:r>
        <w:fldChar w:fldCharType="begin"/>
      </w:r>
      <w:r>
        <w:instrText xml:space="preserve"> HYPERLINK \l "_Toc256000002" </w:instrText>
      </w:r>
      <w:r>
        <w:fldChar w:fldCharType="separate"/>
      </w:r>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_Toc256000002 \h </w:instrText>
      </w:r>
      <w:r>
        <w:fldChar w:fldCharType="separate"/>
      </w:r>
      <w:r>
        <w:t>13</w:t>
      </w:r>
      <w:r>
        <w:fldChar w:fldCharType="end"/>
      </w:r>
      <w:r>
        <w:fldChar w:fldCharType="end"/>
      </w:r>
    </w:p>
    <w:p>
      <w:pPr>
        <w:pStyle w:val="TOC2"/>
        <w:rPr>
          <w:rFonts w:ascii="Calibri" w:hAnsi="Calibri"/>
          <w:noProof/>
          <w:sz w:val="22"/>
        </w:rPr>
      </w:pPr>
      <w:r>
        <w:fldChar w:fldCharType="begin"/>
      </w:r>
      <w:r>
        <w:instrText xml:space="preserve"> HYPERLINK \l "_Toc256000003" </w:instrText>
      </w:r>
      <w:r>
        <w:fldChar w:fldCharType="separate"/>
      </w:r>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_Toc256000003 \h </w:instrText>
      </w:r>
      <w:r>
        <w:fldChar w:fldCharType="separate"/>
      </w:r>
      <w:r>
        <w:t>13</w:t>
      </w:r>
      <w:r>
        <w:fldChar w:fldCharType="end"/>
      </w:r>
      <w:r>
        <w:fldChar w:fldCharType="end"/>
      </w:r>
    </w:p>
    <w:p>
      <w:pPr>
        <w:pStyle w:val="TOC1"/>
        <w:rPr>
          <w:rFonts w:ascii="Calibri" w:hAnsi="Calibri"/>
          <w:noProof/>
          <w:sz w:val="22"/>
        </w:rPr>
      </w:pPr>
      <w:r>
        <w:fldChar w:fldCharType="begin"/>
      </w:r>
      <w:r>
        <w:instrText xml:space="preserve"> HYPERLINK \l "_Toc256000004" </w:instrText>
      </w:r>
      <w:r>
        <w:fldChar w:fldCharType="separate"/>
      </w:r>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_Toc256000004 \h </w:instrText>
      </w:r>
      <w:r>
        <w:fldChar w:fldCharType="separate"/>
      </w:r>
      <w:r>
        <w:t>14</w:t>
      </w:r>
      <w:r>
        <w:fldChar w:fldCharType="end"/>
      </w:r>
      <w:r>
        <w:fldChar w:fldCharType="end"/>
      </w:r>
    </w:p>
    <w:p>
      <w:pPr>
        <w:pStyle w:val="TOC2"/>
        <w:rPr>
          <w:rFonts w:ascii="Calibri" w:hAnsi="Calibri"/>
          <w:noProof/>
          <w:sz w:val="22"/>
        </w:rPr>
      </w:pPr>
      <w:r>
        <w:fldChar w:fldCharType="begin"/>
      </w:r>
      <w:r>
        <w:instrText xml:space="preserve"> HYPERLINK \l "_Toc256000005" </w:instrText>
      </w:r>
      <w:r>
        <w:fldChar w:fldCharType="separate"/>
      </w:r>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_Toc256000005 \h </w:instrText>
      </w:r>
      <w:r>
        <w:fldChar w:fldCharType="separate"/>
      </w:r>
      <w:r>
        <w:t>14</w:t>
      </w:r>
      <w:r>
        <w:fldChar w:fldCharType="end"/>
      </w:r>
      <w:r>
        <w:fldChar w:fldCharType="end"/>
      </w:r>
    </w:p>
    <w:p>
      <w:pPr>
        <w:pStyle w:val="TOC2"/>
        <w:rPr>
          <w:rFonts w:ascii="Calibri" w:hAnsi="Calibri"/>
          <w:noProof/>
          <w:sz w:val="22"/>
        </w:rPr>
      </w:pPr>
      <w:r>
        <w:fldChar w:fldCharType="begin"/>
      </w:r>
      <w:r>
        <w:instrText xml:space="preserve"> HYPERLINK \l "_Toc256000006" </w:instrText>
      </w:r>
      <w:r>
        <w:fldChar w:fldCharType="separate"/>
      </w:r>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_Toc256000006 \h </w:instrText>
      </w:r>
      <w:r>
        <w:fldChar w:fldCharType="separate"/>
      </w:r>
      <w:r>
        <w:t>16</w:t>
      </w:r>
      <w:r>
        <w:fldChar w:fldCharType="end"/>
      </w:r>
      <w:r>
        <w:fldChar w:fldCharType="end"/>
      </w:r>
    </w:p>
    <w:p>
      <w:pPr>
        <w:pStyle w:val="TOC3"/>
        <w:rPr>
          <w:rFonts w:ascii="Calibri" w:hAnsi="Calibri"/>
          <w:noProof/>
          <w:sz w:val="22"/>
        </w:rPr>
      </w:pPr>
      <w:r>
        <w:fldChar w:fldCharType="begin"/>
      </w:r>
      <w:r>
        <w:instrText xml:space="preserve"> HYPERLINK \l "_Toc256000007" </w:instrText>
      </w:r>
      <w:r>
        <w:fldChar w:fldCharType="separate"/>
      </w:r>
      <w:r>
        <w:rPr>
          <w:rStyle w:val="Hyperlink"/>
        </w:rPr>
        <w:t>3.2.1.</w:t>
      </w:r>
      <w:r>
        <w:rPr>
          <w:rStyle w:val="Hyperlink"/>
        </w:rPr>
        <w:t xml:space="preserve"> </w:t>
      </w:r>
      <w:r>
        <w:rPr>
          <w:rStyle w:val="Hyperlink"/>
        </w:rPr>
        <w:t>1. АНС</w:t>
      </w:r>
      <w:r>
        <w:tab/>
      </w:r>
      <w:r>
        <w:fldChar w:fldCharType="begin"/>
      </w:r>
      <w:r>
        <w:instrText xml:space="preserve"> PAGEREF _Toc256000007 \h </w:instrText>
      </w:r>
      <w:r>
        <w:fldChar w:fldCharType="separate"/>
      </w:r>
      <w:r>
        <w:t>17</w:t>
      </w:r>
      <w:r>
        <w:fldChar w:fldCharType="end"/>
      </w:r>
      <w:r>
        <w:fldChar w:fldCharType="end"/>
      </w:r>
    </w:p>
    <w:p>
      <w:pPr>
        <w:pStyle w:val="TOC3"/>
        <w:rPr>
          <w:rFonts w:ascii="Calibri" w:hAnsi="Calibri"/>
          <w:noProof/>
          <w:sz w:val="22"/>
        </w:rPr>
      </w:pPr>
      <w:r>
        <w:fldChar w:fldCharType="begin"/>
      </w:r>
      <w:r>
        <w:instrText xml:space="preserve"> HYPERLINK \l "_Toc256000008" </w:instrText>
      </w:r>
      <w:r>
        <w:fldChar w:fldCharType="separate"/>
      </w:r>
      <w:r>
        <w:rPr>
          <w:rStyle w:val="Hyperlink"/>
        </w:rPr>
        <w:t>3.2.2.</w:t>
      </w:r>
      <w:r>
        <w:rPr>
          <w:rStyle w:val="Hyperlink"/>
        </w:rPr>
        <w:t xml:space="preserve"> </w:t>
      </w:r>
      <w:r>
        <w:rPr>
          <w:rStyle w:val="Hyperlink"/>
        </w:rPr>
        <w:t>2. АНС</w:t>
      </w:r>
      <w:r>
        <w:tab/>
      </w:r>
      <w:r>
        <w:fldChar w:fldCharType="begin"/>
      </w:r>
      <w:r>
        <w:instrText xml:space="preserve"> PAGEREF _Toc256000008 \h </w:instrText>
      </w:r>
      <w:r>
        <w:fldChar w:fldCharType="separate"/>
      </w:r>
      <w:r>
        <w:t>17</w:t>
      </w:r>
      <w:r>
        <w:fldChar w:fldCharType="end"/>
      </w:r>
      <w:r>
        <w:fldChar w:fldCharType="end"/>
      </w:r>
    </w:p>
    <w:p>
      <w:pPr>
        <w:pStyle w:val="TOC3"/>
        <w:rPr>
          <w:rFonts w:ascii="Calibri" w:hAnsi="Calibri"/>
          <w:noProof/>
          <w:sz w:val="22"/>
        </w:rPr>
      </w:pPr>
      <w:r>
        <w:fldChar w:fldCharType="begin"/>
      </w:r>
      <w:r>
        <w:instrText xml:space="preserve"> HYPERLINK \l "_Toc256000009" </w:instrText>
      </w:r>
      <w:r>
        <w:fldChar w:fldCharType="separate"/>
      </w:r>
      <w:r>
        <w:rPr>
          <w:rStyle w:val="Hyperlink"/>
        </w:rPr>
        <w:t>3.2.3.</w:t>
      </w:r>
      <w:r>
        <w:rPr>
          <w:rStyle w:val="Hyperlink"/>
        </w:rPr>
        <w:t xml:space="preserve"> </w:t>
      </w:r>
      <w:r>
        <w:rPr>
          <w:rStyle w:val="Hyperlink"/>
        </w:rPr>
        <w:t>3.АНС</w:t>
      </w:r>
      <w:r>
        <w:tab/>
      </w:r>
      <w:r>
        <w:fldChar w:fldCharType="begin"/>
      </w:r>
      <w:r>
        <w:instrText xml:space="preserve"> PAGEREF _Toc256000009 \h </w:instrText>
      </w:r>
      <w:r>
        <w:fldChar w:fldCharType="separate"/>
      </w:r>
      <w:r>
        <w:t>18</w:t>
      </w:r>
      <w:r>
        <w:fldChar w:fldCharType="end"/>
      </w:r>
      <w:r>
        <w:fldChar w:fldCharType="end"/>
      </w:r>
    </w:p>
    <w:p>
      <w:pPr>
        <w:pStyle w:val="TOC3"/>
        <w:rPr>
          <w:rFonts w:ascii="Calibri" w:hAnsi="Calibri"/>
          <w:noProof/>
          <w:sz w:val="22"/>
        </w:rPr>
      </w:pPr>
      <w:r>
        <w:fldChar w:fldCharType="begin"/>
      </w:r>
      <w:r>
        <w:instrText xml:space="preserve"> HYPERLINK \l "_Toc256000010" </w:instrText>
      </w:r>
      <w:r>
        <w:fldChar w:fldCharType="separate"/>
      </w:r>
      <w:r>
        <w:rPr>
          <w:rStyle w:val="Hyperlink"/>
        </w:rPr>
        <w:t>3.2.4.</w:t>
      </w:r>
      <w:r>
        <w:rPr>
          <w:rStyle w:val="Hyperlink"/>
        </w:rPr>
        <w:t xml:space="preserve"> </w:t>
      </w:r>
      <w:r>
        <w:rPr>
          <w:rStyle w:val="Hyperlink"/>
        </w:rPr>
        <w:t>4. АНС</w:t>
      </w:r>
      <w:r>
        <w:tab/>
      </w:r>
      <w:r>
        <w:fldChar w:fldCharType="begin"/>
      </w:r>
      <w:r>
        <w:instrText xml:space="preserve"> PAGEREF _Toc256000010 \h </w:instrText>
      </w:r>
      <w:r>
        <w:fldChar w:fldCharType="separate"/>
      </w:r>
      <w:r>
        <w:t>18</w:t>
      </w:r>
      <w:r>
        <w:fldChar w:fldCharType="end"/>
      </w:r>
      <w:r>
        <w:fldChar w:fldCharType="end"/>
      </w:r>
    </w:p>
    <w:p>
      <w:pPr>
        <w:pStyle w:val="TOC3"/>
        <w:rPr>
          <w:rFonts w:ascii="Calibri" w:hAnsi="Calibri"/>
          <w:noProof/>
          <w:sz w:val="22"/>
        </w:rPr>
      </w:pPr>
      <w:r>
        <w:fldChar w:fldCharType="begin"/>
      </w:r>
      <w:r>
        <w:instrText xml:space="preserve"> HYPERLINK \l "_Toc256000011" </w:instrText>
      </w:r>
      <w:r>
        <w:fldChar w:fldCharType="separate"/>
      </w:r>
      <w:r>
        <w:rPr>
          <w:rStyle w:val="Hyperlink"/>
        </w:rPr>
        <w:t>3.2.5.</w:t>
      </w:r>
      <w:r>
        <w:rPr>
          <w:rStyle w:val="Hyperlink"/>
        </w:rPr>
        <w:t xml:space="preserve"> </w:t>
      </w:r>
      <w:r>
        <w:rPr>
          <w:rStyle w:val="Hyperlink"/>
        </w:rPr>
        <w:t>5. АНС</w:t>
      </w:r>
      <w:r>
        <w:tab/>
      </w:r>
      <w:r>
        <w:fldChar w:fldCharType="begin"/>
      </w:r>
      <w:r>
        <w:instrText xml:space="preserve"> PAGEREF _Toc256000011 \h </w:instrText>
      </w:r>
      <w:r>
        <w:fldChar w:fldCharType="separate"/>
      </w:r>
      <w:r>
        <w:t>19</w:t>
      </w:r>
      <w:r>
        <w:fldChar w:fldCharType="end"/>
      </w:r>
      <w:r>
        <w:fldChar w:fldCharType="end"/>
      </w:r>
    </w:p>
    <w:p>
      <w:pPr>
        <w:pStyle w:val="TOC3"/>
        <w:rPr>
          <w:rFonts w:ascii="Calibri" w:hAnsi="Calibri"/>
          <w:noProof/>
          <w:sz w:val="22"/>
        </w:rPr>
      </w:pPr>
      <w:r>
        <w:fldChar w:fldCharType="begin"/>
      </w:r>
      <w:r>
        <w:instrText xml:space="preserve"> HYPERLINK \l "_Toc256000012" </w:instrText>
      </w:r>
      <w:r>
        <w:fldChar w:fldCharType="separate"/>
      </w:r>
      <w:r>
        <w:rPr>
          <w:rStyle w:val="Hyperlink"/>
        </w:rPr>
        <w:t>3.2.6.</w:t>
      </w:r>
      <w:r>
        <w:rPr>
          <w:rStyle w:val="Hyperlink"/>
        </w:rPr>
        <w:t xml:space="preserve"> </w:t>
      </w:r>
      <w:r>
        <w:rPr>
          <w:rStyle w:val="Hyperlink"/>
        </w:rPr>
        <w:t>6. АНС</w:t>
      </w:r>
      <w:r>
        <w:tab/>
      </w:r>
      <w:r>
        <w:fldChar w:fldCharType="begin"/>
      </w:r>
      <w:r>
        <w:instrText xml:space="preserve"> PAGEREF _Toc256000012 \h </w:instrText>
      </w:r>
      <w:r>
        <w:fldChar w:fldCharType="separate"/>
      </w:r>
      <w:r>
        <w:t>19</w:t>
      </w:r>
      <w:r>
        <w:fldChar w:fldCharType="end"/>
      </w:r>
      <w:r>
        <w:fldChar w:fldCharType="end"/>
      </w:r>
    </w:p>
    <w:p>
      <w:pPr>
        <w:pStyle w:val="TOC3"/>
        <w:rPr>
          <w:rFonts w:ascii="Calibri" w:hAnsi="Calibri"/>
          <w:noProof/>
          <w:sz w:val="22"/>
        </w:rPr>
      </w:pPr>
      <w:r>
        <w:fldChar w:fldCharType="begin"/>
      </w:r>
      <w:r>
        <w:instrText xml:space="preserve"> HYPERLINK \l "_Toc256000013" </w:instrText>
      </w:r>
      <w:r>
        <w:fldChar w:fldCharType="separate"/>
      </w:r>
      <w:r>
        <w:rPr>
          <w:rStyle w:val="Hyperlink"/>
        </w:rPr>
        <w:t>3.2.7.</w:t>
      </w:r>
      <w:r>
        <w:rPr>
          <w:rStyle w:val="Hyperlink"/>
        </w:rPr>
        <w:t xml:space="preserve"> </w:t>
      </w:r>
      <w:r>
        <w:rPr>
          <w:rStyle w:val="Hyperlink"/>
        </w:rPr>
        <w:t>7. АНС</w:t>
      </w:r>
      <w:r>
        <w:tab/>
      </w:r>
      <w:r>
        <w:fldChar w:fldCharType="begin"/>
      </w:r>
      <w:r>
        <w:instrText xml:space="preserve"> PAGEREF _Toc256000013 \h </w:instrText>
      </w:r>
      <w:r>
        <w:fldChar w:fldCharType="separate"/>
      </w:r>
      <w:r>
        <w:t>20</w:t>
      </w:r>
      <w:r>
        <w:fldChar w:fldCharType="end"/>
      </w:r>
      <w:r>
        <w:fldChar w:fldCharType="end"/>
      </w:r>
    </w:p>
    <w:p>
      <w:pPr>
        <w:pStyle w:val="TOC3"/>
        <w:rPr>
          <w:rFonts w:ascii="Calibri" w:hAnsi="Calibri"/>
          <w:noProof/>
          <w:sz w:val="22"/>
        </w:rPr>
      </w:pPr>
      <w:r>
        <w:fldChar w:fldCharType="begin"/>
      </w:r>
      <w:r>
        <w:instrText xml:space="preserve"> HYPERLINK \l "_Toc256000014" </w:instrText>
      </w:r>
      <w:r>
        <w:fldChar w:fldCharType="separate"/>
      </w:r>
      <w:r>
        <w:rPr>
          <w:rStyle w:val="Hyperlink"/>
        </w:rPr>
        <w:t>3.2.8.</w:t>
      </w:r>
      <w:r>
        <w:rPr>
          <w:rStyle w:val="Hyperlink"/>
        </w:rPr>
        <w:t xml:space="preserve"> </w:t>
      </w:r>
      <w:r>
        <w:rPr>
          <w:rStyle w:val="Hyperlink"/>
        </w:rPr>
        <w:t>8. АНС</w:t>
      </w:r>
      <w:r>
        <w:tab/>
      </w:r>
      <w:r>
        <w:fldChar w:fldCharType="begin"/>
      </w:r>
      <w:r>
        <w:instrText xml:space="preserve"> PAGEREF _Toc256000014 \h </w:instrText>
      </w:r>
      <w:r>
        <w:fldChar w:fldCharType="separate"/>
      </w:r>
      <w:r>
        <w:t>20</w:t>
      </w:r>
      <w:r>
        <w:fldChar w:fldCharType="end"/>
      </w:r>
      <w:r>
        <w:fldChar w:fldCharType="end"/>
      </w:r>
    </w:p>
    <w:p>
      <w:pPr>
        <w:pStyle w:val="TOC3"/>
        <w:rPr>
          <w:rFonts w:ascii="Calibri" w:hAnsi="Calibri"/>
          <w:noProof/>
          <w:sz w:val="22"/>
        </w:rPr>
      </w:pPr>
      <w:r>
        <w:fldChar w:fldCharType="begin"/>
      </w:r>
      <w:r>
        <w:instrText xml:space="preserve"> HYPERLINK \l "_Toc256000015" </w:instrText>
      </w:r>
      <w:r>
        <w:fldChar w:fldCharType="separate"/>
      </w:r>
      <w:r>
        <w:rPr>
          <w:rStyle w:val="Hyperlink"/>
        </w:rPr>
        <w:t>3.2.9.</w:t>
      </w:r>
      <w:r>
        <w:rPr>
          <w:rStyle w:val="Hyperlink"/>
        </w:rPr>
        <w:t xml:space="preserve"> </w:t>
      </w:r>
      <w:r>
        <w:rPr>
          <w:rStyle w:val="Hyperlink"/>
        </w:rPr>
        <w:t>9. АНС</w:t>
      </w:r>
      <w:r>
        <w:tab/>
      </w:r>
      <w:r>
        <w:fldChar w:fldCharType="begin"/>
      </w:r>
      <w:r>
        <w:instrText xml:space="preserve"> PAGEREF _Toc256000015 \h </w:instrText>
      </w:r>
      <w:r>
        <w:fldChar w:fldCharType="separate"/>
      </w:r>
      <w:r>
        <w:t>21</w:t>
      </w:r>
      <w:r>
        <w:fldChar w:fldCharType="end"/>
      </w:r>
      <w:r>
        <w:fldChar w:fldCharType="end"/>
      </w:r>
    </w:p>
    <w:p>
      <w:pPr>
        <w:pStyle w:val="TOC3"/>
        <w:rPr>
          <w:rFonts w:ascii="Calibri" w:hAnsi="Calibri"/>
          <w:noProof/>
          <w:sz w:val="22"/>
        </w:rPr>
      </w:pPr>
      <w:r>
        <w:fldChar w:fldCharType="begin"/>
      </w:r>
      <w:r>
        <w:instrText xml:space="preserve"> HYPERLINK \l "_Toc256000016" </w:instrText>
      </w:r>
      <w:r>
        <w:fldChar w:fldCharType="separate"/>
      </w:r>
      <w:r>
        <w:rPr>
          <w:rStyle w:val="Hyperlink"/>
        </w:rPr>
        <w:t>3.2.10.</w:t>
      </w:r>
      <w:r>
        <w:rPr>
          <w:rStyle w:val="Hyperlink"/>
        </w:rPr>
        <w:t xml:space="preserve"> </w:t>
      </w:r>
      <w:r>
        <w:rPr>
          <w:rStyle w:val="Hyperlink"/>
        </w:rPr>
        <w:t>А. SWOT Aнализ</w:t>
      </w:r>
      <w:r>
        <w:tab/>
      </w:r>
      <w:r>
        <w:fldChar w:fldCharType="begin"/>
      </w:r>
      <w:r>
        <w:instrText xml:space="preserve"> PAGEREF _Toc256000016 \h </w:instrText>
      </w:r>
      <w:r>
        <w:fldChar w:fldCharType="separate"/>
      </w:r>
      <w:r>
        <w:t>21</w:t>
      </w:r>
      <w:r>
        <w:fldChar w:fldCharType="end"/>
      </w:r>
      <w:r>
        <w:fldChar w:fldCharType="end"/>
      </w:r>
    </w:p>
    <w:p>
      <w:pPr>
        <w:pStyle w:val="TOC3"/>
        <w:rPr>
          <w:rFonts w:ascii="Calibri" w:hAnsi="Calibri"/>
          <w:noProof/>
          <w:sz w:val="22"/>
        </w:rPr>
      </w:pPr>
      <w:r>
        <w:fldChar w:fldCharType="begin"/>
      </w:r>
      <w:r>
        <w:instrText xml:space="preserve"> HYPERLINK \l "_Toc256000017" </w:instrText>
      </w:r>
      <w:r>
        <w:fldChar w:fldCharType="separate"/>
      </w:r>
      <w:r>
        <w:rPr>
          <w:rStyle w:val="Hyperlink"/>
        </w:rPr>
        <w:t>3.2.11.</w:t>
      </w:r>
      <w:r>
        <w:rPr>
          <w:rStyle w:val="Hyperlink"/>
        </w:rPr>
        <w:t xml:space="preserve"> </w:t>
      </w:r>
      <w:r>
        <w:rPr>
          <w:rStyle w:val="Hyperlink"/>
        </w:rPr>
        <w:t>Б. Потребности</w:t>
      </w:r>
      <w:r>
        <w:tab/>
      </w:r>
      <w:r>
        <w:fldChar w:fldCharType="begin"/>
      </w:r>
      <w:r>
        <w:instrText xml:space="preserve"> PAGEREF _Toc256000017 \h </w:instrText>
      </w:r>
      <w:r>
        <w:fldChar w:fldCharType="separate"/>
      </w:r>
      <w:r>
        <w:t>22</w:t>
      </w:r>
      <w:r>
        <w:fldChar w:fldCharType="end"/>
      </w:r>
      <w:r>
        <w:fldChar w:fldCharType="end"/>
      </w:r>
    </w:p>
    <w:p>
      <w:pPr>
        <w:pStyle w:val="TOC3"/>
        <w:rPr>
          <w:rFonts w:ascii="Calibri" w:hAnsi="Calibri"/>
          <w:noProof/>
          <w:sz w:val="22"/>
        </w:rPr>
      </w:pPr>
      <w:r>
        <w:fldChar w:fldCharType="begin"/>
      </w:r>
      <w:r>
        <w:instrText xml:space="preserve"> HYPERLINK \l "_Toc256000018" </w:instrText>
      </w:r>
      <w:r>
        <w:fldChar w:fldCharType="separate"/>
      </w:r>
      <w:r>
        <w:rPr>
          <w:rStyle w:val="Hyperlink"/>
        </w:rPr>
        <w:t>3.2.12.</w:t>
      </w:r>
      <w:r>
        <w:rPr>
          <w:rStyle w:val="Hyperlink"/>
        </w:rPr>
        <w:t xml:space="preserve"> </w:t>
      </w:r>
      <w:r>
        <w:rPr>
          <w:rStyle w:val="Hyperlink"/>
        </w:rPr>
        <w:t>В. Стратегия 1</w:t>
      </w:r>
      <w:r>
        <w:tab/>
      </w:r>
      <w:r>
        <w:fldChar w:fldCharType="begin"/>
      </w:r>
      <w:r>
        <w:instrText xml:space="preserve"> PAGEREF _Toc256000018 \h </w:instrText>
      </w:r>
      <w:r>
        <w:fldChar w:fldCharType="separate"/>
      </w:r>
      <w:r>
        <w:t>23</w:t>
      </w:r>
      <w:r>
        <w:fldChar w:fldCharType="end"/>
      </w:r>
      <w:r>
        <w:fldChar w:fldCharType="end"/>
      </w:r>
    </w:p>
    <w:p>
      <w:pPr>
        <w:pStyle w:val="TOC3"/>
        <w:rPr>
          <w:rFonts w:ascii="Calibri" w:hAnsi="Calibri"/>
          <w:noProof/>
          <w:sz w:val="22"/>
        </w:rPr>
      </w:pPr>
      <w:r>
        <w:fldChar w:fldCharType="begin"/>
      </w:r>
      <w:r>
        <w:instrText xml:space="preserve"> HYPERLINK \l "_Toc256000019" </w:instrText>
      </w:r>
      <w:r>
        <w:fldChar w:fldCharType="separate"/>
      </w:r>
      <w:r>
        <w:rPr>
          <w:rStyle w:val="Hyperlink"/>
        </w:rPr>
        <w:t>3.2.13.</w:t>
      </w:r>
      <w:r>
        <w:rPr>
          <w:rStyle w:val="Hyperlink"/>
        </w:rPr>
        <w:t xml:space="preserve"> </w:t>
      </w:r>
      <w:r>
        <w:rPr>
          <w:rStyle w:val="Hyperlink"/>
        </w:rPr>
        <w:t>Г. Стратегия 2</w:t>
      </w:r>
      <w:r>
        <w:tab/>
      </w:r>
      <w:r>
        <w:fldChar w:fldCharType="begin"/>
      </w:r>
      <w:r>
        <w:instrText xml:space="preserve"> PAGEREF _Toc256000019 \h </w:instrText>
      </w:r>
      <w:r>
        <w:fldChar w:fldCharType="separate"/>
      </w:r>
      <w:r>
        <w:t>23</w:t>
      </w:r>
      <w:r>
        <w:fldChar w:fldCharType="end"/>
      </w:r>
      <w:r>
        <w:fldChar w:fldCharType="end"/>
      </w:r>
    </w:p>
    <w:p>
      <w:pPr>
        <w:pStyle w:val="TOC3"/>
        <w:rPr>
          <w:rFonts w:ascii="Calibri" w:hAnsi="Calibri"/>
          <w:noProof/>
          <w:sz w:val="22"/>
        </w:rPr>
      </w:pPr>
      <w:r>
        <w:fldChar w:fldCharType="begin"/>
      </w:r>
      <w:r>
        <w:instrText xml:space="preserve"> HYPERLINK \l "_Toc256000020" </w:instrText>
      </w:r>
      <w:r>
        <w:fldChar w:fldCharType="separate"/>
      </w:r>
      <w:r>
        <w:rPr>
          <w:rStyle w:val="Hyperlink"/>
        </w:rPr>
        <w:t>3.2.14.</w:t>
      </w:r>
      <w:r>
        <w:rPr>
          <w:rStyle w:val="Hyperlink"/>
        </w:rPr>
        <w:t xml:space="preserve"> </w:t>
      </w:r>
      <w:r>
        <w:rPr>
          <w:rStyle w:val="Hyperlink"/>
        </w:rPr>
        <w:t>Д. Стратегия 3</w:t>
      </w:r>
      <w:r>
        <w:tab/>
      </w:r>
      <w:r>
        <w:fldChar w:fldCharType="begin"/>
      </w:r>
      <w:r>
        <w:instrText xml:space="preserve"> PAGEREF _Toc256000020 \h </w:instrText>
      </w:r>
      <w:r>
        <w:fldChar w:fldCharType="separate"/>
      </w:r>
      <w:r>
        <w:t>23</w:t>
      </w:r>
      <w:r>
        <w:fldChar w:fldCharType="end"/>
      </w:r>
      <w:r>
        <w:fldChar w:fldCharType="end"/>
      </w:r>
    </w:p>
    <w:p>
      <w:pPr>
        <w:pStyle w:val="TOC3"/>
        <w:rPr>
          <w:rFonts w:ascii="Calibri" w:hAnsi="Calibri"/>
          <w:noProof/>
          <w:sz w:val="22"/>
        </w:rPr>
      </w:pPr>
      <w:r>
        <w:fldChar w:fldCharType="begin"/>
      </w:r>
      <w:r>
        <w:instrText xml:space="preserve"> HYPERLINK \l "_Toc256000021" </w:instrText>
      </w:r>
      <w:r>
        <w:fldChar w:fldCharType="separate"/>
      </w:r>
      <w:r>
        <w:rPr>
          <w:rStyle w:val="Hyperlink"/>
        </w:rPr>
        <w:t>3.2.15.</w:t>
      </w:r>
      <w:r>
        <w:rPr>
          <w:rStyle w:val="Hyperlink"/>
        </w:rPr>
        <w:t xml:space="preserve"> </w:t>
      </w:r>
      <w:r>
        <w:rPr>
          <w:rStyle w:val="Hyperlink"/>
        </w:rPr>
        <w:t>Е. Специфични цели</w:t>
      </w:r>
      <w:r>
        <w:tab/>
      </w:r>
      <w:r>
        <w:fldChar w:fldCharType="begin"/>
      </w:r>
      <w:r>
        <w:instrText xml:space="preserve"> PAGEREF _Toc256000021 \h </w:instrText>
      </w:r>
      <w:r>
        <w:fldChar w:fldCharType="separate"/>
      </w:r>
      <w:r>
        <w:t>24</w:t>
      </w:r>
      <w:r>
        <w:fldChar w:fldCharType="end"/>
      </w:r>
      <w:r>
        <w:fldChar w:fldCharType="end"/>
      </w:r>
    </w:p>
    <w:p>
      <w:pPr>
        <w:pStyle w:val="TOC3"/>
        <w:rPr>
          <w:rFonts w:ascii="Calibri" w:hAnsi="Calibri"/>
          <w:noProof/>
          <w:sz w:val="22"/>
        </w:rPr>
      </w:pPr>
      <w:r>
        <w:fldChar w:fldCharType="begin"/>
      </w:r>
      <w:r>
        <w:instrText xml:space="preserve"> HYPERLINK \l "_Toc256000022" </w:instrText>
      </w:r>
      <w:r>
        <w:fldChar w:fldCharType="separate"/>
      </w:r>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_Toc256000022 \h </w:instrText>
      </w:r>
      <w:r>
        <w:fldChar w:fldCharType="separate"/>
      </w:r>
      <w:r>
        <w:t>24</w:t>
      </w:r>
      <w:r>
        <w:fldChar w:fldCharType="end"/>
      </w:r>
      <w:r>
        <w:fldChar w:fldCharType="end"/>
      </w:r>
    </w:p>
    <w:p>
      <w:pPr>
        <w:pStyle w:val="TOC3"/>
        <w:rPr>
          <w:rFonts w:ascii="Calibri" w:hAnsi="Calibri"/>
          <w:noProof/>
          <w:sz w:val="22"/>
        </w:rPr>
      </w:pPr>
      <w:r>
        <w:fldChar w:fldCharType="begin"/>
      </w:r>
      <w:r>
        <w:instrText xml:space="preserve"> HYPERLINK \l "_Toc256000023" </w:instrText>
      </w:r>
      <w:r>
        <w:fldChar w:fldCharType="separate"/>
      </w:r>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_Toc256000023 \h </w:instrText>
      </w:r>
      <w:r>
        <w:fldChar w:fldCharType="separate"/>
      </w:r>
      <w:r>
        <w:t>25</w:t>
      </w:r>
      <w:r>
        <w:fldChar w:fldCharType="end"/>
      </w:r>
      <w:r>
        <w:fldChar w:fldCharType="end"/>
      </w:r>
    </w:p>
    <w:p>
      <w:pPr>
        <w:pStyle w:val="TOC3"/>
        <w:rPr>
          <w:rFonts w:ascii="Calibri" w:hAnsi="Calibri"/>
          <w:noProof/>
          <w:sz w:val="22"/>
        </w:rPr>
      </w:pPr>
      <w:r>
        <w:fldChar w:fldCharType="begin"/>
      </w:r>
      <w:r>
        <w:instrText xml:space="preserve"> HYPERLINK \l "_Toc256000024" </w:instrText>
      </w:r>
      <w:r>
        <w:fldChar w:fldCharType="separate"/>
      </w:r>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_Toc256000024 \h </w:instrText>
      </w:r>
      <w:r>
        <w:fldChar w:fldCharType="separate"/>
      </w:r>
      <w:r>
        <w:t>25</w:t>
      </w:r>
      <w:r>
        <w:fldChar w:fldCharType="end"/>
      </w:r>
      <w:r>
        <w:fldChar w:fldCharType="end"/>
      </w:r>
    </w:p>
    <w:p>
      <w:pPr>
        <w:pStyle w:val="TOC3"/>
        <w:rPr>
          <w:rFonts w:ascii="Calibri" w:hAnsi="Calibri"/>
          <w:noProof/>
          <w:sz w:val="22"/>
        </w:rPr>
      </w:pPr>
      <w:r>
        <w:fldChar w:fldCharType="begin"/>
      </w:r>
      <w:r>
        <w:instrText xml:space="preserve"> HYPERLINK \l "_Toc256000025" </w:instrText>
      </w:r>
      <w:r>
        <w:fldChar w:fldCharType="separate"/>
      </w:r>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_Toc256000025 \h </w:instrText>
      </w:r>
      <w:r>
        <w:fldChar w:fldCharType="separate"/>
      </w:r>
      <w:r>
        <w:t>26</w:t>
      </w:r>
      <w:r>
        <w:fldChar w:fldCharType="end"/>
      </w:r>
      <w:r>
        <w:fldChar w:fldCharType="end"/>
      </w:r>
    </w:p>
    <w:p>
      <w:pPr>
        <w:pStyle w:val="TOC3"/>
        <w:rPr>
          <w:rFonts w:ascii="Calibri" w:hAnsi="Calibri"/>
          <w:noProof/>
          <w:sz w:val="22"/>
        </w:rPr>
      </w:pPr>
      <w:r>
        <w:fldChar w:fldCharType="begin"/>
      </w:r>
      <w:r>
        <w:instrText xml:space="preserve"> HYPERLINK \l "_Toc256000026" </w:instrText>
      </w:r>
      <w:r>
        <w:fldChar w:fldCharType="separate"/>
      </w:r>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_Toc256000026 \h </w:instrText>
      </w:r>
      <w:r>
        <w:fldChar w:fldCharType="separate"/>
      </w:r>
      <w:r>
        <w:t>26</w:t>
      </w:r>
      <w:r>
        <w:fldChar w:fldCharType="end"/>
      </w:r>
      <w:r>
        <w:fldChar w:fldCharType="end"/>
      </w:r>
    </w:p>
    <w:p>
      <w:pPr>
        <w:pStyle w:val="TOC3"/>
        <w:rPr>
          <w:rFonts w:ascii="Calibri" w:hAnsi="Calibri"/>
          <w:noProof/>
          <w:sz w:val="22"/>
        </w:rPr>
      </w:pPr>
      <w:r>
        <w:fldChar w:fldCharType="begin"/>
      </w:r>
      <w:r>
        <w:instrText xml:space="preserve"> HYPERLINK \l "_Toc256000027" </w:instrText>
      </w:r>
      <w:r>
        <w:fldChar w:fldCharType="separate"/>
      </w:r>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_Toc256000027 \h </w:instrText>
      </w:r>
      <w:r>
        <w:fldChar w:fldCharType="separate"/>
      </w:r>
      <w:r>
        <w:t>27</w:t>
      </w:r>
      <w:r>
        <w:fldChar w:fldCharType="end"/>
      </w:r>
      <w:r>
        <w:fldChar w:fldCharType="end"/>
      </w:r>
    </w:p>
    <w:p>
      <w:pPr>
        <w:pStyle w:val="TOC3"/>
        <w:rPr>
          <w:rFonts w:ascii="Calibri" w:hAnsi="Calibri"/>
          <w:noProof/>
          <w:sz w:val="22"/>
        </w:rPr>
      </w:pPr>
      <w:r>
        <w:fldChar w:fldCharType="begin"/>
      </w:r>
      <w:r>
        <w:instrText xml:space="preserve"> HYPERLINK \l "_Toc256000028" </w:instrText>
      </w:r>
      <w:r>
        <w:fldChar w:fldCharType="separate"/>
      </w:r>
      <w:r>
        <w:rPr>
          <w:rStyle w:val="Hyperlink"/>
        </w:rPr>
        <w:t>3.2.22.</w:t>
      </w:r>
      <w:r>
        <w:rPr>
          <w:rStyle w:val="Hyperlink"/>
        </w:rPr>
        <w:t xml:space="preserve"> </w:t>
      </w:r>
      <w:r>
        <w:rPr>
          <w:rStyle w:val="Hyperlink"/>
        </w:rPr>
        <w:t>М. План за оценка</w:t>
      </w:r>
      <w:r>
        <w:tab/>
      </w:r>
      <w:r>
        <w:fldChar w:fldCharType="begin"/>
      </w:r>
      <w:r>
        <w:instrText xml:space="preserve"> PAGEREF _Toc256000028 \h </w:instrText>
      </w:r>
      <w:r>
        <w:fldChar w:fldCharType="separate"/>
      </w:r>
      <w:r>
        <w:t>27</w:t>
      </w:r>
      <w:r>
        <w:fldChar w:fldCharType="end"/>
      </w:r>
      <w:r>
        <w:fldChar w:fldCharType="end"/>
      </w:r>
    </w:p>
    <w:p>
      <w:pPr>
        <w:pStyle w:val="TOC3"/>
        <w:rPr>
          <w:rFonts w:ascii="Calibri" w:hAnsi="Calibri"/>
          <w:noProof/>
          <w:sz w:val="22"/>
        </w:rPr>
      </w:pPr>
      <w:r>
        <w:fldChar w:fldCharType="begin"/>
      </w:r>
      <w:r>
        <w:instrText xml:space="preserve"> HYPERLINK \l "_Toc256000029" </w:instrText>
      </w:r>
      <w:r>
        <w:fldChar w:fldCharType="separate"/>
      </w:r>
      <w:r>
        <w:rPr>
          <w:rStyle w:val="Hyperlink"/>
        </w:rPr>
        <w:t>3.2.23.</w:t>
      </w:r>
      <w:r>
        <w:rPr>
          <w:rStyle w:val="Hyperlink"/>
        </w:rPr>
        <w:t xml:space="preserve"> </w:t>
      </w:r>
      <w:r>
        <w:rPr>
          <w:rStyle w:val="Hyperlink"/>
        </w:rPr>
        <w:t>Н. Комуникация</w:t>
      </w:r>
      <w:r>
        <w:tab/>
      </w:r>
      <w:r>
        <w:fldChar w:fldCharType="begin"/>
      </w:r>
      <w:r>
        <w:instrText xml:space="preserve"> PAGEREF _Toc256000029 \h </w:instrText>
      </w:r>
      <w:r>
        <w:fldChar w:fldCharType="separate"/>
      </w:r>
      <w:r>
        <w:t>28</w:t>
      </w:r>
      <w:r>
        <w:fldChar w:fldCharType="end"/>
      </w:r>
      <w:r>
        <w:fldChar w:fldCharType="end"/>
      </w:r>
    </w:p>
    <w:p>
      <w:pPr>
        <w:pStyle w:val="TOC3"/>
        <w:rPr>
          <w:rFonts w:ascii="Calibri" w:hAnsi="Calibri"/>
          <w:noProof/>
          <w:sz w:val="22"/>
        </w:rPr>
      </w:pPr>
      <w:r>
        <w:fldChar w:fldCharType="begin"/>
      </w:r>
      <w:r>
        <w:instrText xml:space="preserve"> HYPERLINK \l "_Toc256000030" </w:instrText>
      </w:r>
      <w:r>
        <w:fldChar w:fldCharType="separate"/>
      </w:r>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_Toc256000030 \h </w:instrText>
      </w:r>
      <w:r>
        <w:fldChar w:fldCharType="separate"/>
      </w:r>
      <w:r>
        <w:t>28</w:t>
      </w:r>
      <w:r>
        <w:fldChar w:fldCharType="end"/>
      </w:r>
      <w:r>
        <w:fldChar w:fldCharType="end"/>
      </w:r>
    </w:p>
    <w:p>
      <w:pPr>
        <w:pStyle w:val="TOC2"/>
        <w:rPr>
          <w:rFonts w:ascii="Calibri" w:hAnsi="Calibri"/>
          <w:noProof/>
          <w:sz w:val="22"/>
        </w:rPr>
      </w:pPr>
      <w:r>
        <w:fldChar w:fldCharType="begin"/>
      </w:r>
      <w:r>
        <w:instrText xml:space="preserve"> HYPERLINK \l "_Toc256000031" </w:instrText>
      </w:r>
      <w:r>
        <w:fldChar w:fldCharType="separate"/>
      </w:r>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_Toc256000031 \h </w:instrText>
      </w:r>
      <w:r>
        <w:fldChar w:fldCharType="separate"/>
      </w:r>
      <w:r>
        <w:t>29</w:t>
      </w:r>
      <w:r>
        <w:fldChar w:fldCharType="end"/>
      </w:r>
      <w:r>
        <w:fldChar w:fldCharType="end"/>
      </w:r>
    </w:p>
    <w:p>
      <w:pPr>
        <w:pStyle w:val="TOC1"/>
        <w:rPr>
          <w:rFonts w:ascii="Calibri" w:hAnsi="Calibri"/>
          <w:noProof/>
          <w:sz w:val="22"/>
        </w:rPr>
      </w:pPr>
      <w:r>
        <w:fldChar w:fldCharType="begin"/>
      </w:r>
      <w:r>
        <w:instrText xml:space="preserve"> HYPERLINK \l "_Toc256000032" </w:instrText>
      </w:r>
      <w:r>
        <w:fldChar w:fldCharType="separate"/>
      </w:r>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_Toc256000032 \h </w:instrText>
      </w:r>
      <w:r>
        <w:fldChar w:fldCharType="separate"/>
      </w:r>
      <w:r>
        <w:t>30</w:t>
      </w:r>
      <w:r>
        <w:fldChar w:fldCharType="end"/>
      </w:r>
      <w:r>
        <w:fldChar w:fldCharType="end"/>
      </w:r>
    </w:p>
    <w:p>
      <w:pPr>
        <w:pStyle w:val="TOC2"/>
        <w:rPr>
          <w:rFonts w:ascii="Calibri" w:hAnsi="Calibri"/>
          <w:noProof/>
          <w:sz w:val="22"/>
        </w:rPr>
      </w:pPr>
      <w:r>
        <w:fldChar w:fldCharType="begin"/>
      </w:r>
      <w:r>
        <w:instrText xml:space="preserve"> HYPERLINK \l "_Toc256000033" </w:instrText>
      </w:r>
      <w:r>
        <w:fldChar w:fldCharType="separate"/>
      </w:r>
      <w:r>
        <w:rPr>
          <w:rStyle w:val="Hyperlink"/>
        </w:rPr>
        <w:t>4.1.</w:t>
      </w:r>
      <w:r>
        <w:rPr>
          <w:rStyle w:val="Hyperlink"/>
        </w:rPr>
        <w:t xml:space="preserve"> </w:t>
      </w:r>
      <w:r>
        <w:rPr>
          <w:rStyle w:val="Hyperlink"/>
        </w:rPr>
        <w:t>SWOT</w:t>
      </w:r>
      <w:r>
        <w:tab/>
      </w:r>
      <w:r>
        <w:fldChar w:fldCharType="begin"/>
      </w:r>
      <w:r>
        <w:instrText xml:space="preserve"> PAGEREF _Toc256000033 \h </w:instrText>
      </w:r>
      <w:r>
        <w:fldChar w:fldCharType="separate"/>
      </w:r>
      <w:r>
        <w:t>30</w:t>
      </w:r>
      <w:r>
        <w:fldChar w:fldCharType="end"/>
      </w:r>
      <w:r>
        <w:fldChar w:fldCharType="end"/>
      </w:r>
    </w:p>
    <w:p>
      <w:pPr>
        <w:pStyle w:val="TOC3"/>
        <w:rPr>
          <w:rFonts w:ascii="Calibri" w:hAnsi="Calibri"/>
          <w:noProof/>
          <w:sz w:val="22"/>
        </w:rPr>
      </w:pPr>
      <w:r>
        <w:fldChar w:fldCharType="begin"/>
      </w:r>
      <w:r>
        <w:instrText xml:space="preserve"> HYPERLINK \l "_Toc256000034" </w:instrText>
      </w:r>
      <w:r>
        <w:fldChar w:fldCharType="separate"/>
      </w:r>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_Toc256000034 \h </w:instrText>
      </w:r>
      <w:r>
        <w:fldChar w:fldCharType="separate"/>
      </w:r>
      <w:r>
        <w:t>30</w:t>
      </w:r>
      <w:r>
        <w:fldChar w:fldCharType="end"/>
      </w:r>
      <w:r>
        <w:fldChar w:fldCharType="end"/>
      </w:r>
    </w:p>
    <w:p>
      <w:pPr>
        <w:pStyle w:val="TOC3"/>
        <w:rPr>
          <w:rFonts w:ascii="Calibri" w:hAnsi="Calibri"/>
          <w:noProof/>
          <w:sz w:val="22"/>
        </w:rPr>
      </w:pPr>
      <w:r>
        <w:fldChar w:fldCharType="begin"/>
      </w:r>
      <w:r>
        <w:instrText xml:space="preserve"> HYPERLINK \l "_Toc256000035" </w:instrText>
      </w:r>
      <w:r>
        <w:fldChar w:fldCharType="separate"/>
      </w:r>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_Toc256000035 \h </w:instrText>
      </w:r>
      <w:r>
        <w:fldChar w:fldCharType="separate"/>
      </w:r>
      <w:r>
        <w:t>41</w:t>
      </w:r>
      <w:r>
        <w:fldChar w:fldCharType="end"/>
      </w:r>
      <w:r>
        <w:fldChar w:fldCharType="end"/>
      </w:r>
    </w:p>
    <w:p>
      <w:pPr>
        <w:pStyle w:val="TOC3"/>
        <w:rPr>
          <w:rFonts w:ascii="Calibri" w:hAnsi="Calibri"/>
          <w:noProof/>
          <w:sz w:val="22"/>
        </w:rPr>
      </w:pPr>
      <w:r>
        <w:fldChar w:fldCharType="begin"/>
      </w:r>
      <w:r>
        <w:instrText xml:space="preserve"> HYPERLINK \l "_Toc256000036" </w:instrText>
      </w:r>
      <w:r>
        <w:fldChar w:fldCharType="separate"/>
      </w:r>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_Toc256000036 \h </w:instrText>
      </w:r>
      <w:r>
        <w:fldChar w:fldCharType="separate"/>
      </w:r>
      <w:r>
        <w:t>43</w:t>
      </w:r>
      <w:r>
        <w:fldChar w:fldCharType="end"/>
      </w:r>
      <w:r>
        <w:fldChar w:fldCharType="end"/>
      </w:r>
    </w:p>
    <w:p>
      <w:pPr>
        <w:pStyle w:val="TOC3"/>
        <w:rPr>
          <w:rFonts w:ascii="Calibri" w:hAnsi="Calibri"/>
          <w:noProof/>
          <w:sz w:val="22"/>
        </w:rPr>
      </w:pPr>
      <w:r>
        <w:fldChar w:fldCharType="begin"/>
      </w:r>
      <w:r>
        <w:instrText xml:space="preserve"> HYPERLINK \l "_Toc256000037" </w:instrText>
      </w:r>
      <w:r>
        <w:fldChar w:fldCharType="separate"/>
      </w:r>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_Toc256000037 \h </w:instrText>
      </w:r>
      <w:r>
        <w:fldChar w:fldCharType="separate"/>
      </w:r>
      <w:r>
        <w:t>46</w:t>
      </w:r>
      <w:r>
        <w:fldChar w:fldCharType="end"/>
      </w:r>
      <w:r>
        <w:fldChar w:fldCharType="end"/>
      </w:r>
    </w:p>
    <w:p>
      <w:pPr>
        <w:pStyle w:val="TOC3"/>
        <w:rPr>
          <w:rFonts w:ascii="Calibri" w:hAnsi="Calibri"/>
          <w:noProof/>
          <w:sz w:val="22"/>
        </w:rPr>
      </w:pPr>
      <w:r>
        <w:fldChar w:fldCharType="begin"/>
      </w:r>
      <w:r>
        <w:instrText xml:space="preserve"> HYPERLINK \l "_Toc256000038" </w:instrText>
      </w:r>
      <w:r>
        <w:fldChar w:fldCharType="separate"/>
      </w:r>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_Toc256000038 \h </w:instrText>
      </w:r>
      <w:r>
        <w:fldChar w:fldCharType="separate"/>
      </w:r>
      <w:r>
        <w:t>46</w:t>
      </w:r>
      <w:r>
        <w:fldChar w:fldCharType="end"/>
      </w:r>
      <w:r>
        <w:fldChar w:fldCharType="end"/>
      </w:r>
    </w:p>
    <w:p>
      <w:pPr>
        <w:pStyle w:val="TOC3"/>
        <w:rPr>
          <w:rFonts w:ascii="Calibri" w:hAnsi="Calibri"/>
          <w:noProof/>
          <w:sz w:val="22"/>
        </w:rPr>
      </w:pPr>
      <w:r>
        <w:fldChar w:fldCharType="begin"/>
      </w:r>
      <w:r>
        <w:instrText xml:space="preserve"> HYPERLINK \l "_Toc256000039" </w:instrText>
      </w:r>
      <w:r>
        <w:fldChar w:fldCharType="separate"/>
      </w:r>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_Toc256000039 \h </w:instrText>
      </w:r>
      <w:r>
        <w:fldChar w:fldCharType="separate"/>
      </w:r>
      <w:r>
        <w:t>48</w:t>
      </w:r>
      <w:r>
        <w:fldChar w:fldCharType="end"/>
      </w:r>
      <w:r>
        <w:fldChar w:fldCharType="end"/>
      </w:r>
    </w:p>
    <w:p>
      <w:pPr>
        <w:pStyle w:val="TOC3"/>
        <w:rPr>
          <w:rFonts w:ascii="Calibri" w:hAnsi="Calibri"/>
          <w:noProof/>
          <w:sz w:val="22"/>
        </w:rPr>
      </w:pPr>
      <w:r>
        <w:fldChar w:fldCharType="begin"/>
      </w:r>
      <w:r>
        <w:instrText xml:space="preserve"> HYPERLINK \l "_Toc256000040" </w:instrText>
      </w:r>
      <w:r>
        <w:fldChar w:fldCharType="separate"/>
      </w:r>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_Toc256000040 \h </w:instrText>
      </w:r>
      <w:r>
        <w:fldChar w:fldCharType="separate"/>
      </w:r>
      <w:r>
        <w:t>56</w:t>
      </w:r>
      <w:r>
        <w:fldChar w:fldCharType="end"/>
      </w:r>
      <w:r>
        <w:fldChar w:fldCharType="end"/>
      </w:r>
    </w:p>
    <w:p>
      <w:pPr>
        <w:pStyle w:val="TOC2"/>
        <w:rPr>
          <w:rFonts w:ascii="Calibri" w:hAnsi="Calibri"/>
          <w:noProof/>
          <w:sz w:val="22"/>
        </w:rPr>
      </w:pPr>
      <w:r>
        <w:fldChar w:fldCharType="begin"/>
      </w:r>
      <w:r>
        <w:instrText xml:space="preserve"> HYPERLINK \l "_Toc256000041" </w:instrText>
      </w:r>
      <w:r>
        <w:fldChar w:fldCharType="separate"/>
      </w:r>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_Toc256000041 \h </w:instrText>
      </w:r>
      <w:r>
        <w:fldChar w:fldCharType="separate"/>
      </w:r>
      <w:r>
        <w:t>57</w:t>
      </w:r>
      <w:r>
        <w:fldChar w:fldCharType="end"/>
      </w:r>
      <w:r>
        <w:fldChar w:fldCharType="end"/>
      </w:r>
    </w:p>
    <w:p>
      <w:pPr>
        <w:pStyle w:val="TOC3"/>
        <w:rPr>
          <w:rFonts w:ascii="Calibri" w:hAnsi="Calibri"/>
          <w:noProof/>
          <w:sz w:val="22"/>
        </w:rPr>
      </w:pPr>
      <w:r>
        <w:fldChar w:fldCharType="begin"/>
      </w:r>
      <w:r>
        <w:instrText xml:space="preserve"> HYPERLINK \l "_Toc256000042" </w:instrText>
      </w:r>
      <w:r>
        <w:fldChar w:fldCharType="separate"/>
      </w:r>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_Toc256000042 \h </w:instrText>
      </w:r>
      <w:r>
        <w:fldChar w:fldCharType="separate"/>
      </w:r>
      <w:r>
        <w:t>61</w:t>
      </w:r>
      <w:r>
        <w:fldChar w:fldCharType="end"/>
      </w:r>
      <w:r>
        <w:fldChar w:fldCharType="end"/>
      </w:r>
    </w:p>
    <w:p>
      <w:pPr>
        <w:pStyle w:val="TOC3"/>
        <w:rPr>
          <w:rFonts w:ascii="Calibri" w:hAnsi="Calibri"/>
          <w:noProof/>
          <w:sz w:val="22"/>
        </w:rPr>
      </w:pPr>
      <w:r>
        <w:fldChar w:fldCharType="begin"/>
      </w:r>
      <w:r>
        <w:instrText xml:space="preserve"> HYPERLINK \l "_Toc256000043" </w:instrText>
      </w:r>
      <w:r>
        <w:fldChar w:fldCharType="separate"/>
      </w:r>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_Toc256000043 \h </w:instrText>
      </w:r>
      <w:r>
        <w:fldChar w:fldCharType="separate"/>
      </w:r>
      <w:r>
        <w:t>62</w:t>
      </w:r>
      <w:r>
        <w:fldChar w:fldCharType="end"/>
      </w:r>
      <w:r>
        <w:fldChar w:fldCharType="end"/>
      </w:r>
    </w:p>
    <w:p>
      <w:pPr>
        <w:pStyle w:val="TOC3"/>
        <w:rPr>
          <w:rFonts w:ascii="Calibri" w:hAnsi="Calibri"/>
          <w:noProof/>
          <w:sz w:val="22"/>
        </w:rPr>
      </w:pPr>
      <w:r>
        <w:fldChar w:fldCharType="begin"/>
      </w:r>
      <w:r>
        <w:instrText xml:space="preserve"> HYPERLINK \l "_Toc256000044" </w:instrText>
      </w:r>
      <w:r>
        <w:fldChar w:fldCharType="separate"/>
      </w:r>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_Toc256000044 \h </w:instrText>
      </w:r>
      <w:r>
        <w:fldChar w:fldCharType="separate"/>
      </w:r>
      <w:r>
        <w:t>63</w:t>
      </w:r>
      <w:r>
        <w:fldChar w:fldCharType="end"/>
      </w:r>
      <w:r>
        <w:fldChar w:fldCharType="end"/>
      </w:r>
    </w:p>
    <w:p>
      <w:pPr>
        <w:pStyle w:val="TOC3"/>
        <w:rPr>
          <w:rFonts w:ascii="Calibri" w:hAnsi="Calibri"/>
          <w:noProof/>
          <w:sz w:val="22"/>
        </w:rPr>
      </w:pPr>
      <w:r>
        <w:fldChar w:fldCharType="begin"/>
      </w:r>
      <w:r>
        <w:instrText xml:space="preserve"> HYPERLINK \l "_Toc256000045" </w:instrText>
      </w:r>
      <w:r>
        <w:fldChar w:fldCharType="separate"/>
      </w:r>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_Toc256000045 \h </w:instrText>
      </w:r>
      <w:r>
        <w:fldChar w:fldCharType="separate"/>
      </w:r>
      <w:r>
        <w:t>65</w:t>
      </w:r>
      <w:r>
        <w:fldChar w:fldCharType="end"/>
      </w:r>
      <w:r>
        <w:fldChar w:fldCharType="end"/>
      </w:r>
    </w:p>
    <w:p>
      <w:pPr>
        <w:pStyle w:val="TOC3"/>
        <w:rPr>
          <w:rFonts w:ascii="Calibri" w:hAnsi="Calibri"/>
          <w:noProof/>
          <w:sz w:val="22"/>
        </w:rPr>
      </w:pPr>
      <w:r>
        <w:fldChar w:fldCharType="begin"/>
      </w:r>
      <w:r>
        <w:instrText xml:space="preserve"> HYPERLINK \l "_Toc256000046" </w:instrText>
      </w:r>
      <w:r>
        <w:fldChar w:fldCharType="separate"/>
      </w:r>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_Toc256000046 \h </w:instrText>
      </w:r>
      <w:r>
        <w:fldChar w:fldCharType="separate"/>
      </w:r>
      <w:r>
        <w:t>65</w:t>
      </w:r>
      <w:r>
        <w:fldChar w:fldCharType="end"/>
      </w:r>
      <w:r>
        <w:fldChar w:fldCharType="end"/>
      </w:r>
    </w:p>
    <w:p>
      <w:pPr>
        <w:pStyle w:val="TOC3"/>
        <w:rPr>
          <w:rFonts w:ascii="Calibri" w:hAnsi="Calibri"/>
          <w:noProof/>
          <w:sz w:val="22"/>
        </w:rPr>
      </w:pPr>
      <w:r>
        <w:fldChar w:fldCharType="begin"/>
      </w:r>
      <w:r>
        <w:instrText xml:space="preserve"> HYPERLINK \l "_Toc256000047" </w:instrText>
      </w:r>
      <w:r>
        <w:fldChar w:fldCharType="separate"/>
      </w:r>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_Toc256000047 \h </w:instrText>
      </w:r>
      <w:r>
        <w:fldChar w:fldCharType="separate"/>
      </w:r>
      <w:r>
        <w:t>67</w:t>
      </w:r>
      <w:r>
        <w:fldChar w:fldCharType="end"/>
      </w:r>
      <w:r>
        <w:fldChar w:fldCharType="end"/>
      </w:r>
    </w:p>
    <w:p>
      <w:pPr>
        <w:pStyle w:val="TOC3"/>
        <w:rPr>
          <w:rFonts w:ascii="Calibri" w:hAnsi="Calibri"/>
          <w:noProof/>
          <w:sz w:val="22"/>
        </w:rPr>
      </w:pPr>
      <w:r>
        <w:fldChar w:fldCharType="begin"/>
      </w:r>
      <w:r>
        <w:instrText xml:space="preserve"> HYPERLINK \l "_Toc256000048" </w:instrText>
      </w:r>
      <w:r>
        <w:fldChar w:fldCharType="separate"/>
      </w:r>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_Toc256000048 \h </w:instrText>
      </w:r>
      <w:r>
        <w:fldChar w:fldCharType="separate"/>
      </w:r>
      <w:r>
        <w:t>68</w:t>
      </w:r>
      <w:r>
        <w:fldChar w:fldCharType="end"/>
      </w:r>
      <w:r>
        <w:fldChar w:fldCharType="end"/>
      </w:r>
    </w:p>
    <w:p>
      <w:pPr>
        <w:pStyle w:val="TOC3"/>
        <w:rPr>
          <w:rFonts w:ascii="Calibri" w:hAnsi="Calibri"/>
          <w:noProof/>
          <w:sz w:val="22"/>
        </w:rPr>
      </w:pPr>
      <w:r>
        <w:fldChar w:fldCharType="begin"/>
      </w:r>
      <w:r>
        <w:instrText xml:space="preserve"> HYPERLINK \l "_Toc256000049" </w:instrText>
      </w:r>
      <w:r>
        <w:fldChar w:fldCharType="separate"/>
      </w:r>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_Toc256000049 \h </w:instrText>
      </w:r>
      <w:r>
        <w:fldChar w:fldCharType="separate"/>
      </w:r>
      <w:r>
        <w:t>69</w:t>
      </w:r>
      <w:r>
        <w:fldChar w:fldCharType="end"/>
      </w:r>
      <w:r>
        <w:fldChar w:fldCharType="end"/>
      </w:r>
    </w:p>
    <w:p>
      <w:pPr>
        <w:pStyle w:val="TOC3"/>
        <w:rPr>
          <w:rFonts w:ascii="Calibri" w:hAnsi="Calibri"/>
          <w:noProof/>
          <w:sz w:val="22"/>
        </w:rPr>
      </w:pPr>
      <w:r>
        <w:fldChar w:fldCharType="begin"/>
      </w:r>
      <w:r>
        <w:instrText xml:space="preserve"> HYPERLINK \l "_Toc256000050" </w:instrText>
      </w:r>
      <w:r>
        <w:fldChar w:fldCharType="separate"/>
      </w:r>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_Toc256000050 \h </w:instrText>
      </w:r>
      <w:r>
        <w:fldChar w:fldCharType="separate"/>
      </w:r>
      <w:r>
        <w:t>70</w:t>
      </w:r>
      <w:r>
        <w:fldChar w:fldCharType="end"/>
      </w:r>
      <w:r>
        <w:fldChar w:fldCharType="end"/>
      </w:r>
    </w:p>
    <w:p>
      <w:pPr>
        <w:pStyle w:val="TOC3"/>
        <w:rPr>
          <w:rFonts w:ascii="Calibri" w:hAnsi="Calibri"/>
          <w:noProof/>
          <w:sz w:val="22"/>
        </w:rPr>
      </w:pPr>
      <w:r>
        <w:fldChar w:fldCharType="begin"/>
      </w:r>
      <w:r>
        <w:instrText xml:space="preserve"> HYPERLINK \l "_Toc256000051" </w:instrText>
      </w:r>
      <w:r>
        <w:fldChar w:fldCharType="separate"/>
      </w:r>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_Toc256000051 \h </w:instrText>
      </w:r>
      <w:r>
        <w:fldChar w:fldCharType="separate"/>
      </w:r>
      <w:r>
        <w:t>70</w:t>
      </w:r>
      <w:r>
        <w:fldChar w:fldCharType="end"/>
      </w:r>
      <w:r>
        <w:fldChar w:fldCharType="end"/>
      </w:r>
    </w:p>
    <w:p>
      <w:pPr>
        <w:pStyle w:val="TOC3"/>
        <w:rPr>
          <w:rFonts w:ascii="Calibri" w:hAnsi="Calibri"/>
          <w:noProof/>
          <w:sz w:val="22"/>
        </w:rPr>
      </w:pPr>
      <w:r>
        <w:fldChar w:fldCharType="begin"/>
      </w:r>
      <w:r>
        <w:instrText xml:space="preserve"> HYPERLINK \l "_Toc256000052" </w:instrText>
      </w:r>
      <w:r>
        <w:fldChar w:fldCharType="separate"/>
      </w:r>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_Toc256000052 \h </w:instrText>
      </w:r>
      <w:r>
        <w:fldChar w:fldCharType="separate"/>
      </w:r>
      <w:r>
        <w:t>71</w:t>
      </w:r>
      <w:r>
        <w:fldChar w:fldCharType="end"/>
      </w:r>
      <w:r>
        <w:fldChar w:fldCharType="end"/>
      </w:r>
    </w:p>
    <w:p>
      <w:pPr>
        <w:pStyle w:val="TOC3"/>
        <w:rPr>
          <w:rFonts w:ascii="Calibri" w:hAnsi="Calibri"/>
          <w:noProof/>
          <w:sz w:val="22"/>
        </w:rPr>
      </w:pPr>
      <w:r>
        <w:fldChar w:fldCharType="begin"/>
      </w:r>
      <w:r>
        <w:instrText xml:space="preserve"> HYPERLINK \l "_Toc256000053" </w:instrText>
      </w:r>
      <w:r>
        <w:fldChar w:fldCharType="separate"/>
      </w:r>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_Toc256000053 \h </w:instrText>
      </w:r>
      <w:r>
        <w:fldChar w:fldCharType="separate"/>
      </w:r>
      <w:r>
        <w:t>72</w:t>
      </w:r>
      <w:r>
        <w:fldChar w:fldCharType="end"/>
      </w:r>
      <w:r>
        <w:fldChar w:fldCharType="end"/>
      </w:r>
    </w:p>
    <w:p>
      <w:pPr>
        <w:pStyle w:val="TOC3"/>
        <w:rPr>
          <w:rFonts w:ascii="Calibri" w:hAnsi="Calibri"/>
          <w:noProof/>
          <w:sz w:val="22"/>
        </w:rPr>
      </w:pPr>
      <w:r>
        <w:fldChar w:fldCharType="begin"/>
      </w:r>
      <w:r>
        <w:instrText xml:space="preserve"> HYPERLINK \l "_Toc256000054" </w:instrText>
      </w:r>
      <w:r>
        <w:fldChar w:fldCharType="separate"/>
      </w:r>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_Toc256000054 \h </w:instrText>
      </w:r>
      <w:r>
        <w:fldChar w:fldCharType="separate"/>
      </w:r>
      <w:r>
        <w:t>73</w:t>
      </w:r>
      <w:r>
        <w:fldChar w:fldCharType="end"/>
      </w:r>
      <w:r>
        <w:fldChar w:fldCharType="end"/>
      </w:r>
    </w:p>
    <w:p>
      <w:pPr>
        <w:pStyle w:val="TOC3"/>
        <w:rPr>
          <w:rFonts w:ascii="Calibri" w:hAnsi="Calibri"/>
          <w:noProof/>
          <w:sz w:val="22"/>
        </w:rPr>
      </w:pPr>
      <w:r>
        <w:fldChar w:fldCharType="begin"/>
      </w:r>
      <w:r>
        <w:instrText xml:space="preserve"> HYPERLINK \l "_Toc256000055" </w:instrText>
      </w:r>
      <w:r>
        <w:fldChar w:fldCharType="separate"/>
      </w:r>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_Toc256000055 \h </w:instrText>
      </w:r>
      <w:r>
        <w:fldChar w:fldCharType="separate"/>
      </w:r>
      <w:r>
        <w:t>74</w:t>
      </w:r>
      <w:r>
        <w:fldChar w:fldCharType="end"/>
      </w:r>
      <w:r>
        <w:fldChar w:fldCharType="end"/>
      </w:r>
    </w:p>
    <w:p>
      <w:pPr>
        <w:pStyle w:val="TOC3"/>
        <w:rPr>
          <w:rFonts w:ascii="Calibri" w:hAnsi="Calibri"/>
          <w:noProof/>
          <w:sz w:val="22"/>
        </w:rPr>
      </w:pPr>
      <w:r>
        <w:fldChar w:fldCharType="begin"/>
      </w:r>
      <w:r>
        <w:instrText xml:space="preserve"> HYPERLINK \l "_Toc256000056" </w:instrText>
      </w:r>
      <w:r>
        <w:fldChar w:fldCharType="separate"/>
      </w:r>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_Toc256000056 \h </w:instrText>
      </w:r>
      <w:r>
        <w:fldChar w:fldCharType="separate"/>
      </w:r>
      <w:r>
        <w:t>75</w:t>
      </w:r>
      <w:r>
        <w:fldChar w:fldCharType="end"/>
      </w:r>
      <w:r>
        <w:fldChar w:fldCharType="end"/>
      </w:r>
    </w:p>
    <w:p>
      <w:pPr>
        <w:pStyle w:val="TOC3"/>
        <w:rPr>
          <w:rFonts w:ascii="Calibri" w:hAnsi="Calibri"/>
          <w:noProof/>
          <w:sz w:val="22"/>
        </w:rPr>
      </w:pPr>
      <w:r>
        <w:fldChar w:fldCharType="begin"/>
      </w:r>
      <w:r>
        <w:instrText xml:space="preserve"> HYPERLINK \l "_Toc256000057" </w:instrText>
      </w:r>
      <w:r>
        <w:fldChar w:fldCharType="separate"/>
      </w:r>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_Toc256000057 \h </w:instrText>
      </w:r>
      <w:r>
        <w:fldChar w:fldCharType="separate"/>
      </w:r>
      <w:r>
        <w:t>75</w:t>
      </w:r>
      <w:r>
        <w:fldChar w:fldCharType="end"/>
      </w:r>
      <w:r>
        <w:fldChar w:fldCharType="end"/>
      </w:r>
    </w:p>
    <w:p>
      <w:pPr>
        <w:pStyle w:val="TOC3"/>
        <w:rPr>
          <w:rFonts w:ascii="Calibri" w:hAnsi="Calibri"/>
          <w:noProof/>
          <w:sz w:val="22"/>
        </w:rPr>
      </w:pPr>
      <w:r>
        <w:fldChar w:fldCharType="begin"/>
      </w:r>
      <w:r>
        <w:instrText xml:space="preserve"> HYPERLINK \l "_Toc256000058" </w:instrText>
      </w:r>
      <w:r>
        <w:fldChar w:fldCharType="separate"/>
      </w:r>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_Toc256000058 \h </w:instrText>
      </w:r>
      <w:r>
        <w:fldChar w:fldCharType="separate"/>
      </w:r>
      <w:r>
        <w:t>76</w:t>
      </w:r>
      <w:r>
        <w:fldChar w:fldCharType="end"/>
      </w:r>
      <w:r>
        <w:fldChar w:fldCharType="end"/>
      </w:r>
    </w:p>
    <w:p>
      <w:pPr>
        <w:pStyle w:val="TOC3"/>
        <w:rPr>
          <w:rFonts w:ascii="Calibri" w:hAnsi="Calibri"/>
          <w:noProof/>
          <w:sz w:val="22"/>
        </w:rPr>
      </w:pPr>
      <w:r>
        <w:fldChar w:fldCharType="begin"/>
      </w:r>
      <w:r>
        <w:instrText xml:space="preserve"> HYPERLINK \l "_Toc256000059" </w:instrText>
      </w:r>
      <w:r>
        <w:fldChar w:fldCharType="separate"/>
      </w:r>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_Toc256000059 \h </w:instrText>
      </w:r>
      <w:r>
        <w:fldChar w:fldCharType="separate"/>
      </w:r>
      <w:r>
        <w:t>77</w:t>
      </w:r>
      <w:r>
        <w:fldChar w:fldCharType="end"/>
      </w:r>
      <w:r>
        <w:fldChar w:fldCharType="end"/>
      </w:r>
    </w:p>
    <w:p>
      <w:pPr>
        <w:pStyle w:val="TOC3"/>
        <w:rPr>
          <w:rFonts w:ascii="Calibri" w:hAnsi="Calibri"/>
          <w:noProof/>
          <w:sz w:val="22"/>
        </w:rPr>
      </w:pPr>
      <w:r>
        <w:fldChar w:fldCharType="begin"/>
      </w:r>
      <w:r>
        <w:instrText xml:space="preserve"> HYPERLINK \l "_Toc256000060" </w:instrText>
      </w:r>
      <w:r>
        <w:fldChar w:fldCharType="separate"/>
      </w:r>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_Toc256000060 \h </w:instrText>
      </w:r>
      <w:r>
        <w:fldChar w:fldCharType="separate"/>
      </w:r>
      <w:r>
        <w:t>78</w:t>
      </w:r>
      <w:r>
        <w:fldChar w:fldCharType="end"/>
      </w:r>
      <w:r>
        <w:fldChar w:fldCharType="end"/>
      </w:r>
    </w:p>
    <w:p>
      <w:pPr>
        <w:pStyle w:val="TOC3"/>
        <w:rPr>
          <w:rFonts w:ascii="Calibri" w:hAnsi="Calibri"/>
          <w:noProof/>
          <w:sz w:val="22"/>
        </w:rPr>
      </w:pPr>
      <w:r>
        <w:fldChar w:fldCharType="begin"/>
      </w:r>
      <w:r>
        <w:instrText xml:space="preserve"> HYPERLINK \l "_Toc256000061" </w:instrText>
      </w:r>
      <w:r>
        <w:fldChar w:fldCharType="separate"/>
      </w:r>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_Toc256000061 \h </w:instrText>
      </w:r>
      <w:r>
        <w:fldChar w:fldCharType="separate"/>
      </w:r>
      <w:r>
        <w:t>79</w:t>
      </w:r>
      <w:r>
        <w:fldChar w:fldCharType="end"/>
      </w:r>
      <w:r>
        <w:fldChar w:fldCharType="end"/>
      </w:r>
    </w:p>
    <w:p>
      <w:pPr>
        <w:pStyle w:val="TOC3"/>
        <w:rPr>
          <w:rFonts w:ascii="Calibri" w:hAnsi="Calibri"/>
          <w:noProof/>
          <w:sz w:val="22"/>
        </w:rPr>
      </w:pPr>
      <w:r>
        <w:fldChar w:fldCharType="begin"/>
      </w:r>
      <w:r>
        <w:instrText xml:space="preserve"> HYPERLINK \l "_Toc256000062" </w:instrText>
      </w:r>
      <w:r>
        <w:fldChar w:fldCharType="separate"/>
      </w:r>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_Toc256000062 \h </w:instrText>
      </w:r>
      <w:r>
        <w:fldChar w:fldCharType="separate"/>
      </w:r>
      <w:r>
        <w:t>79</w:t>
      </w:r>
      <w:r>
        <w:fldChar w:fldCharType="end"/>
      </w:r>
      <w:r>
        <w:fldChar w:fldCharType="end"/>
      </w:r>
    </w:p>
    <w:p>
      <w:pPr>
        <w:pStyle w:val="TOC3"/>
        <w:rPr>
          <w:rFonts w:ascii="Calibri" w:hAnsi="Calibri"/>
          <w:noProof/>
          <w:sz w:val="22"/>
        </w:rPr>
      </w:pPr>
      <w:r>
        <w:fldChar w:fldCharType="begin"/>
      </w:r>
      <w:r>
        <w:instrText xml:space="preserve"> HYPERLINK \l "_Toc256000063" </w:instrText>
      </w:r>
      <w:r>
        <w:fldChar w:fldCharType="separate"/>
      </w:r>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_Toc256000063 \h </w:instrText>
      </w:r>
      <w:r>
        <w:fldChar w:fldCharType="separate"/>
      </w:r>
      <w:r>
        <w:t>80</w:t>
      </w:r>
      <w:r>
        <w:fldChar w:fldCharType="end"/>
      </w:r>
      <w:r>
        <w:fldChar w:fldCharType="end"/>
      </w:r>
    </w:p>
    <w:p>
      <w:pPr>
        <w:pStyle w:val="TOC3"/>
        <w:rPr>
          <w:rFonts w:ascii="Calibri" w:hAnsi="Calibri"/>
          <w:noProof/>
          <w:sz w:val="22"/>
        </w:rPr>
      </w:pPr>
      <w:r>
        <w:fldChar w:fldCharType="begin"/>
      </w:r>
      <w:r>
        <w:instrText xml:space="preserve"> HYPERLINK \l "_Toc256000064" </w:instrText>
      </w:r>
      <w:r>
        <w:fldChar w:fldCharType="separate"/>
      </w:r>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_Toc256000064 \h </w:instrText>
      </w:r>
      <w:r>
        <w:fldChar w:fldCharType="separate"/>
      </w:r>
      <w:r>
        <w:t>80</w:t>
      </w:r>
      <w:r>
        <w:fldChar w:fldCharType="end"/>
      </w:r>
      <w:r>
        <w:fldChar w:fldCharType="end"/>
      </w:r>
    </w:p>
    <w:p>
      <w:pPr>
        <w:pStyle w:val="TOC3"/>
        <w:rPr>
          <w:rFonts w:ascii="Calibri" w:hAnsi="Calibri"/>
          <w:noProof/>
          <w:sz w:val="22"/>
        </w:rPr>
      </w:pPr>
      <w:r>
        <w:fldChar w:fldCharType="begin"/>
      </w:r>
      <w:r>
        <w:instrText xml:space="preserve"> HYPERLINK \l "_Toc256000065" </w:instrText>
      </w:r>
      <w:r>
        <w:fldChar w:fldCharType="separate"/>
      </w:r>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_Toc256000065 \h </w:instrText>
      </w:r>
      <w:r>
        <w:fldChar w:fldCharType="separate"/>
      </w:r>
      <w:r>
        <w:t>81</w:t>
      </w:r>
      <w:r>
        <w:fldChar w:fldCharType="end"/>
      </w:r>
      <w:r>
        <w:fldChar w:fldCharType="end"/>
      </w:r>
    </w:p>
    <w:p>
      <w:pPr>
        <w:pStyle w:val="TOC3"/>
        <w:rPr>
          <w:rFonts w:ascii="Calibri" w:hAnsi="Calibri"/>
          <w:noProof/>
          <w:sz w:val="22"/>
        </w:rPr>
      </w:pPr>
      <w:r>
        <w:fldChar w:fldCharType="begin"/>
      </w:r>
      <w:r>
        <w:instrText xml:space="preserve"> HYPERLINK \l "_Toc256000066" </w:instrText>
      </w:r>
      <w:r>
        <w:fldChar w:fldCharType="separate"/>
      </w:r>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_Toc256000066 \h </w:instrText>
      </w:r>
      <w:r>
        <w:fldChar w:fldCharType="separate"/>
      </w:r>
      <w:r>
        <w:t>82</w:t>
      </w:r>
      <w:r>
        <w:fldChar w:fldCharType="end"/>
      </w:r>
      <w:r>
        <w:fldChar w:fldCharType="end"/>
      </w:r>
    </w:p>
    <w:p>
      <w:pPr>
        <w:pStyle w:val="TOC3"/>
        <w:rPr>
          <w:rFonts w:ascii="Calibri" w:hAnsi="Calibri"/>
          <w:noProof/>
          <w:sz w:val="22"/>
        </w:rPr>
      </w:pPr>
      <w:r>
        <w:fldChar w:fldCharType="begin"/>
      </w:r>
      <w:r>
        <w:instrText xml:space="preserve"> HYPERLINK \l "_Toc256000067" </w:instrText>
      </w:r>
      <w:r>
        <w:fldChar w:fldCharType="separate"/>
      </w:r>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_Toc256000067 \h </w:instrText>
      </w:r>
      <w:r>
        <w:fldChar w:fldCharType="separate"/>
      </w:r>
      <w:r>
        <w:t>83</w:t>
      </w:r>
      <w:r>
        <w:fldChar w:fldCharType="end"/>
      </w:r>
      <w:r>
        <w:fldChar w:fldCharType="end"/>
      </w:r>
    </w:p>
    <w:p>
      <w:pPr>
        <w:pStyle w:val="TOC3"/>
        <w:rPr>
          <w:rFonts w:ascii="Calibri" w:hAnsi="Calibri"/>
          <w:noProof/>
          <w:sz w:val="22"/>
        </w:rPr>
      </w:pPr>
      <w:r>
        <w:fldChar w:fldCharType="begin"/>
      </w:r>
      <w:r>
        <w:instrText xml:space="preserve"> HYPERLINK \l "_Toc256000068" </w:instrText>
      </w:r>
      <w:r>
        <w:fldChar w:fldCharType="separate"/>
      </w:r>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_Toc256000068 \h </w:instrText>
      </w:r>
      <w:r>
        <w:fldChar w:fldCharType="separate"/>
      </w:r>
      <w:r>
        <w:t>83</w:t>
      </w:r>
      <w:r>
        <w:fldChar w:fldCharType="end"/>
      </w:r>
      <w:r>
        <w:fldChar w:fldCharType="end"/>
      </w:r>
    </w:p>
    <w:p>
      <w:pPr>
        <w:pStyle w:val="TOC3"/>
        <w:rPr>
          <w:rFonts w:ascii="Calibri" w:hAnsi="Calibri"/>
          <w:noProof/>
          <w:sz w:val="22"/>
        </w:rPr>
      </w:pPr>
      <w:r>
        <w:fldChar w:fldCharType="begin"/>
      </w:r>
      <w:r>
        <w:instrText xml:space="preserve"> HYPERLINK \l "_Toc256000069" </w:instrText>
      </w:r>
      <w:r>
        <w:fldChar w:fldCharType="separate"/>
      </w:r>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_Toc256000069 \h </w:instrText>
      </w:r>
      <w:r>
        <w:fldChar w:fldCharType="separate"/>
      </w:r>
      <w:r>
        <w:t>84</w:t>
      </w:r>
      <w:r>
        <w:fldChar w:fldCharType="end"/>
      </w:r>
      <w:r>
        <w:fldChar w:fldCharType="end"/>
      </w:r>
    </w:p>
    <w:p>
      <w:pPr>
        <w:pStyle w:val="TOC3"/>
        <w:rPr>
          <w:rFonts w:ascii="Calibri" w:hAnsi="Calibri"/>
          <w:noProof/>
          <w:sz w:val="22"/>
        </w:rPr>
      </w:pPr>
      <w:r>
        <w:fldChar w:fldCharType="begin"/>
      </w:r>
      <w:r>
        <w:instrText xml:space="preserve"> HYPERLINK \l "_Toc256000070" </w:instrText>
      </w:r>
      <w:r>
        <w:fldChar w:fldCharType="separate"/>
      </w:r>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_Toc256000070 \h </w:instrText>
      </w:r>
      <w:r>
        <w:fldChar w:fldCharType="separate"/>
      </w:r>
      <w:r>
        <w:t>84</w:t>
      </w:r>
      <w:r>
        <w:fldChar w:fldCharType="end"/>
      </w:r>
      <w:r>
        <w:fldChar w:fldCharType="end"/>
      </w:r>
    </w:p>
    <w:p>
      <w:pPr>
        <w:pStyle w:val="TOC3"/>
        <w:rPr>
          <w:rFonts w:ascii="Calibri" w:hAnsi="Calibri"/>
          <w:noProof/>
          <w:sz w:val="22"/>
        </w:rPr>
      </w:pPr>
      <w:r>
        <w:fldChar w:fldCharType="begin"/>
      </w:r>
      <w:r>
        <w:instrText xml:space="preserve"> HYPERLINK \l "_Toc256000071" </w:instrText>
      </w:r>
      <w:r>
        <w:fldChar w:fldCharType="separate"/>
      </w:r>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_Toc256000071 \h </w:instrText>
      </w:r>
      <w:r>
        <w:fldChar w:fldCharType="separate"/>
      </w:r>
      <w:r>
        <w:t>85</w:t>
      </w:r>
      <w:r>
        <w:fldChar w:fldCharType="end"/>
      </w:r>
      <w:r>
        <w:fldChar w:fldCharType="end"/>
      </w:r>
    </w:p>
    <w:p>
      <w:pPr>
        <w:pStyle w:val="TOC3"/>
        <w:rPr>
          <w:rFonts w:ascii="Calibri" w:hAnsi="Calibri"/>
          <w:noProof/>
          <w:sz w:val="22"/>
        </w:rPr>
      </w:pPr>
      <w:r>
        <w:fldChar w:fldCharType="begin"/>
      </w:r>
      <w:r>
        <w:instrText xml:space="preserve"> HYPERLINK \l "_Toc256000072" </w:instrText>
      </w:r>
      <w:r>
        <w:fldChar w:fldCharType="separate"/>
      </w:r>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_Toc256000072 \h </w:instrText>
      </w:r>
      <w:r>
        <w:fldChar w:fldCharType="separate"/>
      </w:r>
      <w:r>
        <w:t>85</w:t>
      </w:r>
      <w:r>
        <w:fldChar w:fldCharType="end"/>
      </w:r>
      <w:r>
        <w:fldChar w:fldCharType="end"/>
      </w:r>
    </w:p>
    <w:p>
      <w:pPr>
        <w:pStyle w:val="TOC3"/>
        <w:rPr>
          <w:rFonts w:ascii="Calibri" w:hAnsi="Calibri"/>
          <w:noProof/>
          <w:sz w:val="22"/>
        </w:rPr>
      </w:pPr>
      <w:r>
        <w:fldChar w:fldCharType="begin"/>
      </w:r>
      <w:r>
        <w:instrText xml:space="preserve"> HYPERLINK \l "_Toc256000073" </w:instrText>
      </w:r>
      <w:r>
        <w:fldChar w:fldCharType="separate"/>
      </w:r>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_Toc256000073 \h </w:instrText>
      </w:r>
      <w:r>
        <w:fldChar w:fldCharType="separate"/>
      </w:r>
      <w:r>
        <w:t>86</w:t>
      </w:r>
      <w:r>
        <w:fldChar w:fldCharType="end"/>
      </w:r>
      <w:r>
        <w:fldChar w:fldCharType="end"/>
      </w:r>
    </w:p>
    <w:p>
      <w:pPr>
        <w:pStyle w:val="TOC3"/>
        <w:rPr>
          <w:rFonts w:ascii="Calibri" w:hAnsi="Calibri"/>
          <w:noProof/>
          <w:sz w:val="22"/>
        </w:rPr>
      </w:pPr>
      <w:r>
        <w:fldChar w:fldCharType="begin"/>
      </w:r>
      <w:r>
        <w:instrText xml:space="preserve"> HYPERLINK \l "_Toc256000074" </w:instrText>
      </w:r>
      <w:r>
        <w:fldChar w:fldCharType="separate"/>
      </w:r>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_Toc256000074 \h </w:instrText>
      </w:r>
      <w:r>
        <w:fldChar w:fldCharType="separate"/>
      </w:r>
      <w:r>
        <w:t>87</w:t>
      </w:r>
      <w:r>
        <w:fldChar w:fldCharType="end"/>
      </w:r>
      <w:r>
        <w:fldChar w:fldCharType="end"/>
      </w:r>
    </w:p>
    <w:p>
      <w:pPr>
        <w:pStyle w:val="TOC3"/>
        <w:rPr>
          <w:rFonts w:ascii="Calibri" w:hAnsi="Calibri"/>
          <w:noProof/>
          <w:sz w:val="22"/>
        </w:rPr>
      </w:pPr>
      <w:r>
        <w:fldChar w:fldCharType="begin"/>
      </w:r>
      <w:r>
        <w:instrText xml:space="preserve"> HYPERLINK \l "_Toc256000075" </w:instrText>
      </w:r>
      <w:r>
        <w:fldChar w:fldCharType="separate"/>
      </w:r>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_Toc256000075 \h </w:instrText>
      </w:r>
      <w:r>
        <w:fldChar w:fldCharType="separate"/>
      </w:r>
      <w:r>
        <w:t>87</w:t>
      </w:r>
      <w:r>
        <w:fldChar w:fldCharType="end"/>
      </w:r>
      <w:r>
        <w:fldChar w:fldCharType="end"/>
      </w:r>
    </w:p>
    <w:p>
      <w:pPr>
        <w:pStyle w:val="TOC3"/>
        <w:rPr>
          <w:rFonts w:ascii="Calibri" w:hAnsi="Calibri"/>
          <w:noProof/>
          <w:sz w:val="22"/>
        </w:rPr>
      </w:pPr>
      <w:r>
        <w:fldChar w:fldCharType="begin"/>
      </w:r>
      <w:r>
        <w:instrText xml:space="preserve"> HYPERLINK \l "_Toc256000076" </w:instrText>
      </w:r>
      <w:r>
        <w:fldChar w:fldCharType="separate"/>
      </w:r>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_Toc256000076 \h </w:instrText>
      </w:r>
      <w:r>
        <w:fldChar w:fldCharType="separate"/>
      </w:r>
      <w:r>
        <w:t>88</w:t>
      </w:r>
      <w:r>
        <w:fldChar w:fldCharType="end"/>
      </w:r>
      <w:r>
        <w:fldChar w:fldCharType="end"/>
      </w:r>
    </w:p>
    <w:p>
      <w:pPr>
        <w:pStyle w:val="TOC3"/>
        <w:rPr>
          <w:rFonts w:ascii="Calibri" w:hAnsi="Calibri"/>
          <w:noProof/>
          <w:sz w:val="22"/>
        </w:rPr>
      </w:pPr>
      <w:r>
        <w:fldChar w:fldCharType="begin"/>
      </w:r>
      <w:r>
        <w:instrText xml:space="preserve"> HYPERLINK \l "_Toc256000077" </w:instrText>
      </w:r>
      <w:r>
        <w:fldChar w:fldCharType="separate"/>
      </w:r>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_Toc256000077 \h </w:instrText>
      </w:r>
      <w:r>
        <w:fldChar w:fldCharType="separate"/>
      </w:r>
      <w:r>
        <w:t>88</w:t>
      </w:r>
      <w:r>
        <w:fldChar w:fldCharType="end"/>
      </w:r>
      <w:r>
        <w:fldChar w:fldCharType="end"/>
      </w:r>
    </w:p>
    <w:p>
      <w:pPr>
        <w:pStyle w:val="TOC3"/>
        <w:rPr>
          <w:rFonts w:ascii="Calibri" w:hAnsi="Calibri"/>
          <w:noProof/>
          <w:sz w:val="22"/>
        </w:rPr>
      </w:pPr>
      <w:r>
        <w:fldChar w:fldCharType="begin"/>
      </w:r>
      <w:r>
        <w:instrText xml:space="preserve"> HYPERLINK \l "_Toc256000078" </w:instrText>
      </w:r>
      <w:r>
        <w:fldChar w:fldCharType="separate"/>
      </w:r>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_Toc256000078 \h </w:instrText>
      </w:r>
      <w:r>
        <w:fldChar w:fldCharType="separate"/>
      </w:r>
      <w:r>
        <w:t>89</w:t>
      </w:r>
      <w:r>
        <w:fldChar w:fldCharType="end"/>
      </w:r>
      <w:r>
        <w:fldChar w:fldCharType="end"/>
      </w:r>
    </w:p>
    <w:p>
      <w:pPr>
        <w:pStyle w:val="TOC3"/>
        <w:rPr>
          <w:rFonts w:ascii="Calibri" w:hAnsi="Calibri"/>
          <w:noProof/>
          <w:sz w:val="22"/>
        </w:rPr>
      </w:pPr>
      <w:r>
        <w:fldChar w:fldCharType="begin"/>
      </w:r>
      <w:r>
        <w:instrText xml:space="preserve"> HYPERLINK \l "_Toc256000079" </w:instrText>
      </w:r>
      <w:r>
        <w:fldChar w:fldCharType="separate"/>
      </w:r>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_Toc256000079 \h </w:instrText>
      </w:r>
      <w:r>
        <w:fldChar w:fldCharType="separate"/>
      </w:r>
      <w:r>
        <w:t>90</w:t>
      </w:r>
      <w:r>
        <w:fldChar w:fldCharType="end"/>
      </w:r>
      <w:r>
        <w:fldChar w:fldCharType="end"/>
      </w:r>
    </w:p>
    <w:p>
      <w:pPr>
        <w:pStyle w:val="TOC3"/>
        <w:rPr>
          <w:rFonts w:ascii="Calibri" w:hAnsi="Calibri"/>
          <w:noProof/>
          <w:sz w:val="22"/>
        </w:rPr>
      </w:pPr>
      <w:r>
        <w:fldChar w:fldCharType="begin"/>
      </w:r>
      <w:r>
        <w:instrText xml:space="preserve"> HYPERLINK \l "_Toc256000080" </w:instrText>
      </w:r>
      <w:r>
        <w:fldChar w:fldCharType="separate"/>
      </w:r>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_Toc256000080 \h </w:instrText>
      </w:r>
      <w:r>
        <w:fldChar w:fldCharType="separate"/>
      </w:r>
      <w:r>
        <w:t>90</w:t>
      </w:r>
      <w:r>
        <w:fldChar w:fldCharType="end"/>
      </w:r>
      <w:r>
        <w:fldChar w:fldCharType="end"/>
      </w:r>
    </w:p>
    <w:p>
      <w:pPr>
        <w:pStyle w:val="TOC3"/>
        <w:rPr>
          <w:rFonts w:ascii="Calibri" w:hAnsi="Calibri"/>
          <w:noProof/>
          <w:sz w:val="22"/>
        </w:rPr>
      </w:pPr>
      <w:r>
        <w:fldChar w:fldCharType="begin"/>
      </w:r>
      <w:r>
        <w:instrText xml:space="preserve"> HYPERLINK \l "_Toc256000081" </w:instrText>
      </w:r>
      <w:r>
        <w:fldChar w:fldCharType="separate"/>
      </w:r>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_Toc256000081 \h </w:instrText>
      </w:r>
      <w:r>
        <w:fldChar w:fldCharType="separate"/>
      </w:r>
      <w:r>
        <w:t>91</w:t>
      </w:r>
      <w:r>
        <w:fldChar w:fldCharType="end"/>
      </w:r>
      <w:r>
        <w:fldChar w:fldCharType="end"/>
      </w:r>
    </w:p>
    <w:p>
      <w:pPr>
        <w:pStyle w:val="TOC1"/>
        <w:rPr>
          <w:rFonts w:ascii="Calibri" w:hAnsi="Calibri"/>
          <w:noProof/>
          <w:sz w:val="22"/>
        </w:rPr>
      </w:pPr>
      <w:r>
        <w:fldChar w:fldCharType="begin"/>
      </w:r>
      <w:r>
        <w:instrText xml:space="preserve"> HYPERLINK \l "_Toc256000082" </w:instrText>
      </w:r>
      <w:r>
        <w:fldChar w:fldCharType="separate"/>
      </w:r>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_Toc256000082 \h </w:instrText>
      </w:r>
      <w:r>
        <w:fldChar w:fldCharType="separate"/>
      </w:r>
      <w:r>
        <w:t>93</w:t>
      </w:r>
      <w:r>
        <w:fldChar w:fldCharType="end"/>
      </w:r>
      <w:r>
        <w:fldChar w:fldCharType="end"/>
      </w:r>
    </w:p>
    <w:p>
      <w:pPr>
        <w:pStyle w:val="TOC2"/>
        <w:rPr>
          <w:rFonts w:ascii="Calibri" w:hAnsi="Calibri"/>
          <w:noProof/>
          <w:sz w:val="22"/>
        </w:rPr>
      </w:pPr>
      <w:r>
        <w:fldChar w:fldCharType="begin"/>
      </w:r>
      <w:r>
        <w:instrText xml:space="preserve"> HYPERLINK \l "_Toc256000083" </w:instrText>
      </w:r>
      <w:r>
        <w:fldChar w:fldCharType="separate"/>
      </w:r>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_Toc256000083 \h </w:instrText>
      </w:r>
      <w:r>
        <w:fldChar w:fldCharType="separate"/>
      </w:r>
      <w:r>
        <w:t>93</w:t>
      </w:r>
      <w:r>
        <w:fldChar w:fldCharType="end"/>
      </w:r>
      <w:r>
        <w:fldChar w:fldCharType="end"/>
      </w:r>
    </w:p>
    <w:p>
      <w:pPr>
        <w:pStyle w:val="TOC2"/>
        <w:rPr>
          <w:rFonts w:ascii="Calibri" w:hAnsi="Calibri"/>
          <w:noProof/>
          <w:sz w:val="22"/>
        </w:rPr>
      </w:pPr>
      <w:r>
        <w:fldChar w:fldCharType="begin"/>
      </w:r>
      <w:r>
        <w:instrText xml:space="preserve"> HYPERLINK \l "_Toc256000084" </w:instrText>
      </w:r>
      <w:r>
        <w:fldChar w:fldCharType="separate"/>
      </w:r>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_Toc256000084 \h </w:instrText>
      </w:r>
      <w:r>
        <w:fldChar w:fldCharType="separate"/>
      </w:r>
      <w:r>
        <w:t>99</w:t>
      </w:r>
      <w:r>
        <w:fldChar w:fldCharType="end"/>
      </w:r>
      <w:r>
        <w:fldChar w:fldCharType="end"/>
      </w:r>
    </w:p>
    <w:p>
      <w:pPr>
        <w:pStyle w:val="TOC3"/>
        <w:rPr>
          <w:rFonts w:ascii="Calibri" w:hAnsi="Calibri"/>
          <w:noProof/>
          <w:sz w:val="22"/>
        </w:rPr>
      </w:pPr>
      <w:r>
        <w:fldChar w:fldCharType="begin"/>
      </w:r>
      <w:r>
        <w:instrText xml:space="preserve"> HYPERLINK \l "_Toc256000085" </w:instrText>
      </w:r>
      <w:r>
        <w:fldChar w:fldCharType="separate"/>
      </w:r>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_Toc256000085 \h </w:instrText>
      </w:r>
      <w:r>
        <w:fldChar w:fldCharType="separate"/>
      </w:r>
      <w:r>
        <w:t>99</w:t>
      </w:r>
      <w:r>
        <w:fldChar w:fldCharType="end"/>
      </w:r>
      <w:r>
        <w:fldChar w:fldCharType="end"/>
      </w:r>
    </w:p>
    <w:p>
      <w:pPr>
        <w:pStyle w:val="TOC3"/>
        <w:rPr>
          <w:rFonts w:ascii="Calibri" w:hAnsi="Calibri"/>
          <w:noProof/>
          <w:sz w:val="22"/>
        </w:rPr>
      </w:pPr>
      <w:r>
        <w:fldChar w:fldCharType="begin"/>
      </w:r>
      <w:r>
        <w:instrText xml:space="preserve"> HYPERLINK \l "_Toc256000086" </w:instrText>
      </w:r>
      <w:r>
        <w:fldChar w:fldCharType="separate"/>
      </w:r>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_Toc256000086 \h </w:instrText>
      </w:r>
      <w:r>
        <w:fldChar w:fldCharType="separate"/>
      </w:r>
      <w:r>
        <w:t>100</w:t>
      </w:r>
      <w:r>
        <w:fldChar w:fldCharType="end"/>
      </w:r>
      <w:r>
        <w:fldChar w:fldCharType="end"/>
      </w:r>
    </w:p>
    <w:p>
      <w:pPr>
        <w:pStyle w:val="TOC3"/>
        <w:rPr>
          <w:rFonts w:ascii="Calibri" w:hAnsi="Calibri"/>
          <w:noProof/>
          <w:sz w:val="22"/>
        </w:rPr>
      </w:pPr>
      <w:r>
        <w:fldChar w:fldCharType="begin"/>
      </w:r>
      <w:r>
        <w:instrText xml:space="preserve"> HYPERLINK \l "_Toc256000087" </w:instrText>
      </w:r>
      <w:r>
        <w:fldChar w:fldCharType="separate"/>
      </w:r>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_Toc256000087 \h </w:instrText>
      </w:r>
      <w:r>
        <w:fldChar w:fldCharType="separate"/>
      </w:r>
      <w:r>
        <w:t>102</w:t>
      </w:r>
      <w:r>
        <w:fldChar w:fldCharType="end"/>
      </w:r>
      <w:r>
        <w:fldChar w:fldCharType="end"/>
      </w:r>
    </w:p>
    <w:p>
      <w:pPr>
        <w:pStyle w:val="TOC3"/>
        <w:rPr>
          <w:rFonts w:ascii="Calibri" w:hAnsi="Calibri"/>
          <w:noProof/>
          <w:sz w:val="22"/>
        </w:rPr>
      </w:pPr>
      <w:r>
        <w:fldChar w:fldCharType="begin"/>
      </w:r>
      <w:r>
        <w:instrText xml:space="preserve"> HYPERLINK \l "_Toc256000088" </w:instrText>
      </w:r>
      <w:r>
        <w:fldChar w:fldCharType="separate"/>
      </w:r>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_Toc256000088 \h </w:instrText>
      </w:r>
      <w:r>
        <w:fldChar w:fldCharType="separate"/>
      </w:r>
      <w:r>
        <w:t>104</w:t>
      </w:r>
      <w:r>
        <w:fldChar w:fldCharType="end"/>
      </w:r>
      <w:r>
        <w:fldChar w:fldCharType="end"/>
      </w:r>
    </w:p>
    <w:p>
      <w:pPr>
        <w:pStyle w:val="TOC3"/>
        <w:rPr>
          <w:rFonts w:ascii="Calibri" w:hAnsi="Calibri"/>
          <w:noProof/>
          <w:sz w:val="22"/>
        </w:rPr>
      </w:pPr>
      <w:r>
        <w:fldChar w:fldCharType="begin"/>
      </w:r>
      <w:r>
        <w:instrText xml:space="preserve"> HYPERLINK \l "_Toc256000089" </w:instrText>
      </w:r>
      <w:r>
        <w:fldChar w:fldCharType="separate"/>
      </w:r>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_Toc256000089 \h </w:instrText>
      </w:r>
      <w:r>
        <w:fldChar w:fldCharType="separate"/>
      </w:r>
      <w:r>
        <w:t>108</w:t>
      </w:r>
      <w:r>
        <w:fldChar w:fldCharType="end"/>
      </w:r>
      <w:r>
        <w:fldChar w:fldCharType="end"/>
      </w:r>
    </w:p>
    <w:p>
      <w:pPr>
        <w:pStyle w:val="TOC3"/>
        <w:rPr>
          <w:rFonts w:ascii="Calibri" w:hAnsi="Calibri"/>
          <w:noProof/>
          <w:sz w:val="22"/>
        </w:rPr>
      </w:pPr>
      <w:r>
        <w:fldChar w:fldCharType="begin"/>
      </w:r>
      <w:r>
        <w:instrText xml:space="preserve"> HYPERLINK \l "_Toc256000090" </w:instrText>
      </w:r>
      <w:r>
        <w:fldChar w:fldCharType="separate"/>
      </w:r>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_Toc256000090 \h </w:instrText>
      </w:r>
      <w:r>
        <w:fldChar w:fldCharType="separate"/>
      </w:r>
      <w:r>
        <w:t>112</w:t>
      </w:r>
      <w:r>
        <w:fldChar w:fldCharType="end"/>
      </w:r>
      <w:r>
        <w:fldChar w:fldCharType="end"/>
      </w:r>
    </w:p>
    <w:p>
      <w:pPr>
        <w:pStyle w:val="TOC2"/>
        <w:rPr>
          <w:rFonts w:ascii="Calibri" w:hAnsi="Calibri"/>
          <w:noProof/>
          <w:sz w:val="22"/>
        </w:rPr>
      </w:pPr>
      <w:r>
        <w:fldChar w:fldCharType="begin"/>
      </w:r>
      <w:r>
        <w:instrText xml:space="preserve"> HYPERLINK \l "_Toc256000091" </w:instrText>
      </w:r>
      <w:r>
        <w:fldChar w:fldCharType="separate"/>
      </w:r>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_Toc256000091 \h </w:instrText>
      </w:r>
      <w:r>
        <w:fldChar w:fldCharType="separate"/>
      </w:r>
      <w:r>
        <w:t>115</w:t>
      </w:r>
      <w:r>
        <w:fldChar w:fldCharType="end"/>
      </w:r>
      <w:r>
        <w:fldChar w:fldCharType="end"/>
      </w:r>
    </w:p>
    <w:p>
      <w:pPr>
        <w:pStyle w:val="TOC2"/>
        <w:rPr>
          <w:rFonts w:ascii="Calibri" w:hAnsi="Calibri"/>
          <w:noProof/>
          <w:sz w:val="22"/>
        </w:rPr>
      </w:pPr>
      <w:r>
        <w:fldChar w:fldCharType="begin"/>
      </w:r>
      <w:r>
        <w:instrText xml:space="preserve"> HYPERLINK \l "_Toc256000092" </w:instrText>
      </w:r>
      <w:r>
        <w:fldChar w:fldCharType="separate"/>
      </w:r>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_Toc256000092 \h </w:instrText>
      </w:r>
      <w:r>
        <w:fldChar w:fldCharType="separate"/>
      </w:r>
      <w:r>
        <w:t>118</w:t>
      </w:r>
      <w:r>
        <w:fldChar w:fldCharType="end"/>
      </w:r>
      <w:r>
        <w:fldChar w:fldCharType="end"/>
      </w:r>
    </w:p>
    <w:p>
      <w:pPr>
        <w:pStyle w:val="TOC2"/>
        <w:rPr>
          <w:rFonts w:ascii="Calibri" w:hAnsi="Calibri"/>
          <w:noProof/>
          <w:sz w:val="22"/>
        </w:rPr>
      </w:pPr>
      <w:r>
        <w:fldChar w:fldCharType="begin"/>
      </w:r>
      <w:r>
        <w:instrText xml:space="preserve"> HYPERLINK \l "_Toc256000093" </w:instrText>
      </w:r>
      <w:r>
        <w:fldChar w:fldCharType="separate"/>
      </w:r>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_Toc256000093 \h </w:instrText>
      </w:r>
      <w:r>
        <w:fldChar w:fldCharType="separate"/>
      </w:r>
      <w:r>
        <w:t>120</w:t>
      </w:r>
      <w:r>
        <w:fldChar w:fldCharType="end"/>
      </w:r>
      <w:r>
        <w:fldChar w:fldCharType="end"/>
      </w:r>
    </w:p>
    <w:p>
      <w:pPr>
        <w:pStyle w:val="TOC1"/>
        <w:rPr>
          <w:rFonts w:ascii="Calibri" w:hAnsi="Calibri"/>
          <w:noProof/>
          <w:sz w:val="22"/>
        </w:rPr>
      </w:pPr>
      <w:r>
        <w:fldChar w:fldCharType="begin"/>
      </w:r>
      <w:r>
        <w:instrText xml:space="preserve"> HYPERLINK \l "_Toc256000094" </w:instrText>
      </w:r>
      <w:r>
        <w:fldChar w:fldCharType="separate"/>
      </w:r>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_Toc256000094 \h </w:instrText>
      </w:r>
      <w:r>
        <w:fldChar w:fldCharType="separate"/>
      </w:r>
      <w:r>
        <w:t>124</w:t>
      </w:r>
      <w:r>
        <w:fldChar w:fldCharType="end"/>
      </w:r>
      <w:r>
        <w:fldChar w:fldCharType="end"/>
      </w:r>
    </w:p>
    <w:p>
      <w:pPr>
        <w:pStyle w:val="TOC2"/>
        <w:rPr>
          <w:rFonts w:ascii="Calibri" w:hAnsi="Calibri"/>
          <w:noProof/>
          <w:sz w:val="22"/>
        </w:rPr>
      </w:pPr>
      <w:r>
        <w:fldChar w:fldCharType="begin"/>
      </w:r>
      <w:r>
        <w:instrText xml:space="preserve"> HYPERLINK \l "_Toc256000095" </w:instrText>
      </w:r>
      <w:r>
        <w:fldChar w:fldCharType="separate"/>
      </w:r>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_Toc256000095 \h </w:instrText>
      </w:r>
      <w:r>
        <w:fldChar w:fldCharType="separate"/>
      </w:r>
      <w:r>
        <w:t>124</w:t>
      </w:r>
      <w:r>
        <w:fldChar w:fldCharType="end"/>
      </w:r>
      <w:r>
        <w:fldChar w:fldCharType="end"/>
      </w:r>
    </w:p>
    <w:p>
      <w:pPr>
        <w:pStyle w:val="TOC2"/>
        <w:rPr>
          <w:rFonts w:ascii="Calibri" w:hAnsi="Calibri"/>
          <w:noProof/>
          <w:sz w:val="22"/>
        </w:rPr>
      </w:pPr>
      <w:r>
        <w:fldChar w:fldCharType="begin"/>
      </w:r>
      <w:r>
        <w:instrText xml:space="preserve"> HYPERLINK \l "_Toc256000096" </w:instrText>
      </w:r>
      <w:r>
        <w:fldChar w:fldCharType="separate"/>
      </w:r>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_Toc256000096 \h </w:instrText>
      </w:r>
      <w:r>
        <w:fldChar w:fldCharType="separate"/>
      </w:r>
      <w:r>
        <w:t>125</w:t>
      </w:r>
      <w:r>
        <w:fldChar w:fldCharType="end"/>
      </w:r>
      <w:r>
        <w:fldChar w:fldCharType="end"/>
      </w:r>
    </w:p>
    <w:p>
      <w:pPr>
        <w:pStyle w:val="TOC3"/>
        <w:rPr>
          <w:rFonts w:ascii="Calibri" w:hAnsi="Calibri"/>
          <w:noProof/>
          <w:sz w:val="22"/>
        </w:rPr>
      </w:pPr>
      <w:r>
        <w:fldChar w:fldCharType="begin"/>
      </w:r>
      <w:r>
        <w:instrText xml:space="preserve"> HYPERLINK \l "_Toc256000097" </w:instrText>
      </w:r>
      <w:r>
        <w:fldChar w:fldCharType="separate"/>
      </w:r>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_Toc256000097 \h </w:instrText>
      </w:r>
      <w:r>
        <w:fldChar w:fldCharType="separate"/>
      </w:r>
      <w:r>
        <w:t>151</w:t>
      </w:r>
      <w:r>
        <w:fldChar w:fldCharType="end"/>
      </w:r>
      <w:r>
        <w:fldChar w:fldCharType="end"/>
      </w:r>
    </w:p>
    <w:p>
      <w:pPr>
        <w:pStyle w:val="TOC3"/>
        <w:rPr>
          <w:rFonts w:ascii="Calibri" w:hAnsi="Calibri"/>
          <w:noProof/>
          <w:sz w:val="22"/>
        </w:rPr>
      </w:pPr>
      <w:r>
        <w:fldChar w:fldCharType="begin"/>
      </w:r>
      <w:r>
        <w:instrText xml:space="preserve"> HYPERLINK \l "_Toc256000098" </w:instrText>
      </w:r>
      <w:r>
        <w:fldChar w:fldCharType="separate"/>
      </w:r>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_Toc256000098 \h </w:instrText>
      </w:r>
      <w:r>
        <w:fldChar w:fldCharType="separate"/>
      </w:r>
      <w:r>
        <w:t>154</w:t>
      </w:r>
      <w:r>
        <w:fldChar w:fldCharType="end"/>
      </w:r>
      <w:r>
        <w:fldChar w:fldCharType="end"/>
      </w:r>
    </w:p>
    <w:p>
      <w:pPr>
        <w:pStyle w:val="TOC1"/>
        <w:rPr>
          <w:rFonts w:ascii="Calibri" w:hAnsi="Calibri"/>
          <w:noProof/>
          <w:sz w:val="22"/>
        </w:rPr>
      </w:pPr>
      <w:r>
        <w:fldChar w:fldCharType="begin"/>
      </w:r>
      <w:r>
        <w:instrText xml:space="preserve"> HYPERLINK \l "_Toc256000099" </w:instrText>
      </w:r>
      <w:r>
        <w:fldChar w:fldCharType="separate"/>
      </w:r>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_Toc256000099 \h </w:instrText>
      </w:r>
      <w:r>
        <w:fldChar w:fldCharType="separate"/>
      </w:r>
      <w:r>
        <w:t>158</w:t>
      </w:r>
      <w:r>
        <w:fldChar w:fldCharType="end"/>
      </w:r>
      <w:r>
        <w:fldChar w:fldCharType="end"/>
      </w:r>
    </w:p>
    <w:p>
      <w:pPr>
        <w:pStyle w:val="TOC2"/>
        <w:rPr>
          <w:rFonts w:ascii="Calibri" w:hAnsi="Calibri"/>
          <w:noProof/>
          <w:sz w:val="22"/>
        </w:rPr>
      </w:pPr>
      <w:r>
        <w:fldChar w:fldCharType="begin"/>
      </w:r>
      <w:r>
        <w:instrText xml:space="preserve"> HYPERLINK \l "_Toc256000100" </w:instrText>
      </w:r>
      <w:r>
        <w:fldChar w:fldCharType="separate"/>
      </w:r>
      <w:r>
        <w:rPr>
          <w:rStyle w:val="Hyperlink"/>
        </w:rPr>
        <w:t>7.1.</w:t>
      </w:r>
      <w:r>
        <w:rPr>
          <w:rStyle w:val="Hyperlink"/>
        </w:rPr>
        <w:t xml:space="preserve"> </w:t>
      </w:r>
      <w:r>
        <w:rPr>
          <w:rStyle w:val="Hyperlink"/>
        </w:rPr>
        <w:t>Показатели</w:t>
      </w:r>
      <w:r>
        <w:tab/>
      </w:r>
      <w:r>
        <w:fldChar w:fldCharType="begin"/>
      </w:r>
      <w:r>
        <w:instrText xml:space="preserve"> PAGEREF _Toc256000100 \h </w:instrText>
      </w:r>
      <w:r>
        <w:fldChar w:fldCharType="separate"/>
      </w:r>
      <w:r>
        <w:t>158</w:t>
      </w:r>
      <w:r>
        <w:fldChar w:fldCharType="end"/>
      </w:r>
      <w:r>
        <w:fldChar w:fldCharType="end"/>
      </w:r>
    </w:p>
    <w:p>
      <w:pPr>
        <w:pStyle w:val="TOC3"/>
        <w:rPr>
          <w:rFonts w:ascii="Calibri" w:hAnsi="Calibri"/>
          <w:noProof/>
          <w:sz w:val="22"/>
        </w:rPr>
      </w:pPr>
      <w:r>
        <w:fldChar w:fldCharType="begin"/>
      </w:r>
      <w:r>
        <w:instrText xml:space="preserve"> HYPERLINK \l "_Toc256000101" </w:instrText>
      </w:r>
      <w:r>
        <w:fldChar w:fldCharType="separate"/>
      </w:r>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_Toc256000101 \h </w:instrText>
      </w:r>
      <w:r>
        <w:fldChar w:fldCharType="separate"/>
      </w:r>
      <w:r>
        <w:t>162</w:t>
      </w:r>
      <w:r>
        <w:fldChar w:fldCharType="end"/>
      </w:r>
      <w:r>
        <w:fldChar w:fldCharType="end"/>
      </w:r>
    </w:p>
    <w:p>
      <w:pPr>
        <w:pStyle w:val="TOC3"/>
        <w:rPr>
          <w:rFonts w:ascii="Calibri" w:hAnsi="Calibri"/>
          <w:noProof/>
          <w:sz w:val="22"/>
        </w:rPr>
      </w:pPr>
      <w:r>
        <w:fldChar w:fldCharType="begin"/>
      </w:r>
      <w:r>
        <w:instrText xml:space="preserve"> HYPERLINK \l "_Toc256000102" </w:instrText>
      </w:r>
      <w:r>
        <w:fldChar w:fldCharType="separate"/>
      </w:r>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_Toc256000102 \h </w:instrText>
      </w:r>
      <w:r>
        <w:fldChar w:fldCharType="separate"/>
      </w:r>
      <w:r>
        <w:t>162</w:t>
      </w:r>
      <w:r>
        <w:fldChar w:fldCharType="end"/>
      </w:r>
      <w:r>
        <w:fldChar w:fldCharType="end"/>
      </w:r>
    </w:p>
    <w:p>
      <w:pPr>
        <w:pStyle w:val="TOC3"/>
        <w:rPr>
          <w:rFonts w:ascii="Calibri" w:hAnsi="Calibri"/>
          <w:noProof/>
          <w:sz w:val="22"/>
        </w:rPr>
      </w:pPr>
      <w:r>
        <w:fldChar w:fldCharType="begin"/>
      </w:r>
      <w:r>
        <w:instrText xml:space="preserve"> HYPERLINK \l "_Toc256000103" </w:instrText>
      </w:r>
      <w:r>
        <w:fldChar w:fldCharType="separate"/>
      </w:r>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_Toc256000103 \h </w:instrText>
      </w:r>
      <w:r>
        <w:fldChar w:fldCharType="separate"/>
      </w:r>
      <w:r>
        <w:t>163</w:t>
      </w:r>
      <w:r>
        <w:fldChar w:fldCharType="end"/>
      </w:r>
      <w:r>
        <w:fldChar w:fldCharType="end"/>
      </w:r>
    </w:p>
    <w:p>
      <w:pPr>
        <w:pStyle w:val="TOC3"/>
        <w:rPr>
          <w:rFonts w:ascii="Calibri" w:hAnsi="Calibri"/>
          <w:noProof/>
          <w:sz w:val="22"/>
        </w:rPr>
      </w:pPr>
      <w:r>
        <w:fldChar w:fldCharType="begin"/>
      </w:r>
      <w:r>
        <w:instrText xml:space="preserve"> HYPERLINK \l "_Toc256000104" </w:instrText>
      </w:r>
      <w:r>
        <w:fldChar w:fldCharType="separate"/>
      </w:r>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_Toc256000104 \h </w:instrText>
      </w:r>
      <w:r>
        <w:fldChar w:fldCharType="separate"/>
      </w:r>
      <w:r>
        <w:t>164</w:t>
      </w:r>
      <w:r>
        <w:fldChar w:fldCharType="end"/>
      </w:r>
      <w:r>
        <w:fldChar w:fldCharType="end"/>
      </w:r>
    </w:p>
    <w:p>
      <w:pPr>
        <w:pStyle w:val="TOC3"/>
        <w:rPr>
          <w:rFonts w:ascii="Calibri" w:hAnsi="Calibri"/>
          <w:noProof/>
          <w:sz w:val="22"/>
        </w:rPr>
      </w:pPr>
      <w:r>
        <w:fldChar w:fldCharType="begin"/>
      </w:r>
      <w:r>
        <w:instrText xml:space="preserve"> HYPERLINK \l "_Toc256000105" </w:instrText>
      </w:r>
      <w:r>
        <w:fldChar w:fldCharType="separate"/>
      </w:r>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_Toc256000105 \h </w:instrText>
      </w:r>
      <w:r>
        <w:fldChar w:fldCharType="separate"/>
      </w:r>
      <w:r>
        <w:t>165</w:t>
      </w:r>
      <w:r>
        <w:fldChar w:fldCharType="end"/>
      </w:r>
      <w:r>
        <w:fldChar w:fldCharType="end"/>
      </w:r>
    </w:p>
    <w:p>
      <w:pPr>
        <w:pStyle w:val="TOC2"/>
        <w:rPr>
          <w:rFonts w:ascii="Calibri" w:hAnsi="Calibri"/>
          <w:noProof/>
          <w:sz w:val="22"/>
        </w:rPr>
      </w:pPr>
      <w:r>
        <w:fldChar w:fldCharType="begin"/>
      </w:r>
      <w:r>
        <w:instrText xml:space="preserve"> HYPERLINK \l "_Toc256000106" </w:instrText>
      </w:r>
      <w:r>
        <w:fldChar w:fldCharType="separate"/>
      </w:r>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_Toc256000106 \h </w:instrText>
      </w:r>
      <w:r>
        <w:fldChar w:fldCharType="separate"/>
      </w:r>
      <w:r>
        <w:t>167</w:t>
      </w:r>
      <w:r>
        <w:fldChar w:fldCharType="end"/>
      </w:r>
      <w:r>
        <w:fldChar w:fldCharType="end"/>
      </w:r>
    </w:p>
    <w:p>
      <w:pPr>
        <w:pStyle w:val="TOC3"/>
        <w:rPr>
          <w:rFonts w:ascii="Calibri" w:hAnsi="Calibri"/>
          <w:noProof/>
          <w:sz w:val="22"/>
        </w:rPr>
      </w:pPr>
      <w:r>
        <w:fldChar w:fldCharType="begin"/>
      </w:r>
      <w:r>
        <w:instrText xml:space="preserve"> HYPERLINK \l "_Toc256000107" </w:instrText>
      </w:r>
      <w:r>
        <w:fldChar w:fldCharType="separate"/>
      </w:r>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_Toc256000107 \h </w:instrText>
      </w:r>
      <w:r>
        <w:fldChar w:fldCharType="separate"/>
      </w:r>
      <w:r>
        <w:t>167</w:t>
      </w:r>
      <w:r>
        <w:fldChar w:fldCharType="end"/>
      </w:r>
      <w:r>
        <w:fldChar w:fldCharType="end"/>
      </w:r>
    </w:p>
    <w:p>
      <w:pPr>
        <w:pStyle w:val="TOC2"/>
        <w:rPr>
          <w:rFonts w:ascii="Calibri" w:hAnsi="Calibri"/>
          <w:noProof/>
          <w:sz w:val="22"/>
        </w:rPr>
      </w:pPr>
      <w:r>
        <w:fldChar w:fldCharType="begin"/>
      </w:r>
      <w:r>
        <w:instrText xml:space="preserve"> HYPERLINK \l "_Toc256000108" </w:instrText>
      </w:r>
      <w:r>
        <w:fldChar w:fldCharType="separate"/>
      </w:r>
      <w:r>
        <w:rPr>
          <w:rStyle w:val="Hyperlink"/>
        </w:rPr>
        <w:t>7.3.</w:t>
      </w:r>
      <w:r>
        <w:rPr>
          <w:rStyle w:val="Hyperlink"/>
        </w:rPr>
        <w:t xml:space="preserve"> </w:t>
      </w:r>
      <w:r>
        <w:rPr>
          <w:rStyle w:val="Hyperlink"/>
        </w:rPr>
        <w:t>Резерв</w:t>
      </w:r>
      <w:r>
        <w:tab/>
      </w:r>
      <w:r>
        <w:fldChar w:fldCharType="begin"/>
      </w:r>
      <w:r>
        <w:instrText xml:space="preserve"> PAGEREF _Toc256000108 \h </w:instrText>
      </w:r>
      <w:r>
        <w:fldChar w:fldCharType="separate"/>
      </w:r>
      <w:r>
        <w:t>169</w:t>
      </w:r>
      <w:r>
        <w:fldChar w:fldCharType="end"/>
      </w:r>
      <w:r>
        <w:fldChar w:fldCharType="end"/>
      </w:r>
    </w:p>
    <w:p>
      <w:pPr>
        <w:pStyle w:val="TOC1"/>
        <w:rPr>
          <w:rFonts w:ascii="Calibri" w:hAnsi="Calibri"/>
          <w:noProof/>
          <w:sz w:val="22"/>
        </w:rPr>
      </w:pPr>
      <w:r>
        <w:fldChar w:fldCharType="begin"/>
      </w:r>
      <w:r>
        <w:instrText xml:space="preserve"> HYPERLINK \l "_Toc256000109" </w:instrText>
      </w:r>
      <w:r>
        <w:fldChar w:fldCharType="separate"/>
      </w:r>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_Toc256000109 \h </w:instrText>
      </w:r>
      <w:r>
        <w:fldChar w:fldCharType="separate"/>
      </w:r>
      <w:r>
        <w:t>171</w:t>
      </w:r>
      <w:r>
        <w:fldChar w:fldCharType="end"/>
      </w:r>
      <w:r>
        <w:fldChar w:fldCharType="end"/>
      </w:r>
    </w:p>
    <w:p>
      <w:pPr>
        <w:pStyle w:val="TOC2"/>
        <w:rPr>
          <w:rFonts w:ascii="Calibri" w:hAnsi="Calibri"/>
          <w:noProof/>
          <w:sz w:val="22"/>
        </w:rPr>
      </w:pPr>
      <w:r>
        <w:fldChar w:fldCharType="begin"/>
      </w:r>
      <w:r>
        <w:instrText xml:space="preserve"> HYPERLINK \l "_Toc256000110" </w:instrText>
      </w:r>
      <w:r>
        <w:fldChar w:fldCharType="separate"/>
      </w:r>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_Toc256000110 \h </w:instrText>
      </w:r>
      <w:r>
        <w:fldChar w:fldCharType="separate"/>
      </w:r>
      <w:r>
        <w:t>171</w:t>
      </w:r>
      <w:r>
        <w:fldChar w:fldCharType="end"/>
      </w:r>
      <w:r>
        <w:fldChar w:fldCharType="end"/>
      </w:r>
    </w:p>
    <w:p>
      <w:pPr>
        <w:pStyle w:val="TOC2"/>
        <w:rPr>
          <w:rFonts w:ascii="Calibri" w:hAnsi="Calibri"/>
          <w:noProof/>
          <w:sz w:val="22"/>
        </w:rPr>
      </w:pPr>
      <w:r>
        <w:fldChar w:fldCharType="begin"/>
      </w:r>
      <w:r>
        <w:instrText xml:space="preserve"> HYPERLINK \l "_Toc256000111" </w:instrText>
      </w:r>
      <w:r>
        <w:fldChar w:fldCharType="separate"/>
      </w:r>
      <w:r>
        <w:rPr>
          <w:rStyle w:val="Hyperlink"/>
        </w:rPr>
        <w:t>8.2.</w:t>
      </w:r>
      <w:r>
        <w:rPr>
          <w:rStyle w:val="Hyperlink"/>
        </w:rPr>
        <w:t xml:space="preserve"> </w:t>
      </w:r>
      <w:r>
        <w:rPr>
          <w:rStyle w:val="Hyperlink"/>
        </w:rPr>
        <w:t>Описание по мярка</w:t>
      </w:r>
      <w:r>
        <w:tab/>
      </w:r>
      <w:r>
        <w:fldChar w:fldCharType="begin"/>
      </w:r>
      <w:r>
        <w:instrText xml:space="preserve"> PAGEREF _Toc256000111 \h </w:instrText>
      </w:r>
      <w:r>
        <w:fldChar w:fldCharType="separate"/>
      </w:r>
      <w:r>
        <w:t>178</w:t>
      </w:r>
      <w:r>
        <w:fldChar w:fldCharType="end"/>
      </w:r>
      <w:r>
        <w:fldChar w:fldCharType="end"/>
      </w:r>
    </w:p>
    <w:p>
      <w:pPr>
        <w:pStyle w:val="TOC3"/>
        <w:rPr>
          <w:rFonts w:ascii="Calibri" w:hAnsi="Calibri"/>
          <w:noProof/>
          <w:sz w:val="22"/>
        </w:rPr>
      </w:pPr>
      <w:r>
        <w:fldChar w:fldCharType="begin"/>
      </w:r>
      <w:r>
        <w:instrText xml:space="preserve"> HYPERLINK \l "_Toc256000112" </w:instrText>
      </w:r>
      <w:r>
        <w:fldChar w:fldCharType="separate"/>
      </w:r>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_Toc256000112 \h </w:instrText>
      </w:r>
      <w:r>
        <w:fldChar w:fldCharType="separate"/>
      </w:r>
      <w:r>
        <w:t>178</w:t>
      </w:r>
      <w:r>
        <w:fldChar w:fldCharType="end"/>
      </w:r>
      <w:r>
        <w:fldChar w:fldCharType="end"/>
      </w:r>
    </w:p>
    <w:p>
      <w:pPr>
        <w:pStyle w:val="TOC3"/>
        <w:rPr>
          <w:rFonts w:ascii="Calibri" w:hAnsi="Calibri"/>
          <w:noProof/>
          <w:sz w:val="22"/>
        </w:rPr>
      </w:pPr>
      <w:r>
        <w:fldChar w:fldCharType="begin"/>
      </w:r>
      <w:r>
        <w:instrText xml:space="preserve"> HYPERLINK \l "_Toc256000113" </w:instrText>
      </w:r>
      <w:r>
        <w:fldChar w:fldCharType="separate"/>
      </w:r>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_Toc256000113 \h </w:instrText>
      </w:r>
      <w:r>
        <w:fldChar w:fldCharType="separate"/>
      </w:r>
      <w:r>
        <w:t>204</w:t>
      </w:r>
      <w:r>
        <w:fldChar w:fldCharType="end"/>
      </w:r>
      <w:r>
        <w:fldChar w:fldCharType="end"/>
      </w:r>
    </w:p>
    <w:p>
      <w:pPr>
        <w:pStyle w:val="TOC3"/>
        <w:rPr>
          <w:rFonts w:ascii="Calibri" w:hAnsi="Calibri"/>
          <w:noProof/>
          <w:sz w:val="22"/>
        </w:rPr>
      </w:pPr>
      <w:r>
        <w:fldChar w:fldCharType="begin"/>
      </w:r>
      <w:r>
        <w:instrText xml:space="preserve"> HYPERLINK \l "_Toc256000114" </w:instrText>
      </w:r>
      <w:r>
        <w:fldChar w:fldCharType="separate"/>
      </w:r>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_Toc256000114 \h </w:instrText>
      </w:r>
      <w:r>
        <w:fldChar w:fldCharType="separate"/>
      </w:r>
      <w:r>
        <w:t>238</w:t>
      </w:r>
      <w:r>
        <w:fldChar w:fldCharType="end"/>
      </w:r>
      <w:r>
        <w:fldChar w:fldCharType="end"/>
      </w:r>
    </w:p>
    <w:p>
      <w:pPr>
        <w:pStyle w:val="TOC3"/>
        <w:rPr>
          <w:rFonts w:ascii="Calibri" w:hAnsi="Calibri"/>
          <w:noProof/>
          <w:sz w:val="22"/>
        </w:rPr>
      </w:pPr>
      <w:r>
        <w:fldChar w:fldCharType="begin"/>
      </w:r>
      <w:r>
        <w:instrText xml:space="preserve"> HYPERLINK \l "_Toc256000115" </w:instrText>
      </w:r>
      <w:r>
        <w:fldChar w:fldCharType="separate"/>
      </w:r>
      <w:r>
        <w:rPr>
          <w:rStyle w:val="Hyperlink"/>
        </w:rPr>
        <w:t>8.2.4.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_Toc256000115 \h </w:instrText>
      </w:r>
      <w:r>
        <w:fldChar w:fldCharType="separate"/>
      </w:r>
      <w:r>
        <w:t>302</w:t>
      </w:r>
      <w:r>
        <w:fldChar w:fldCharType="end"/>
      </w:r>
      <w:r>
        <w:fldChar w:fldCharType="end"/>
      </w:r>
    </w:p>
    <w:p>
      <w:pPr>
        <w:pStyle w:val="TOC3"/>
        <w:rPr>
          <w:rFonts w:ascii="Calibri" w:hAnsi="Calibri"/>
          <w:noProof/>
          <w:sz w:val="22"/>
        </w:rPr>
      </w:pPr>
      <w:r>
        <w:fldChar w:fldCharType="begin"/>
      </w:r>
      <w:r>
        <w:instrText xml:space="preserve"> HYPERLINK \l "_Toc256000116" </w:instrText>
      </w:r>
      <w:r>
        <w:fldChar w:fldCharType="separate"/>
      </w:r>
      <w:r>
        <w:rPr>
          <w:rStyle w:val="Hyperlink"/>
        </w:rPr>
        <w:t>8.2.5.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_Toc256000116 \h </w:instrText>
      </w:r>
      <w:r>
        <w:fldChar w:fldCharType="separate"/>
      </w:r>
      <w:r>
        <w:t>351</w:t>
      </w:r>
      <w:r>
        <w:fldChar w:fldCharType="end"/>
      </w:r>
      <w:r>
        <w:fldChar w:fldCharType="end"/>
      </w:r>
    </w:p>
    <w:p>
      <w:pPr>
        <w:pStyle w:val="TOC3"/>
        <w:rPr>
          <w:rFonts w:ascii="Calibri" w:hAnsi="Calibri"/>
          <w:noProof/>
          <w:sz w:val="22"/>
        </w:rPr>
      </w:pPr>
      <w:r>
        <w:fldChar w:fldCharType="begin"/>
      </w:r>
      <w:r>
        <w:instrText xml:space="preserve"> HYPERLINK \l "_Toc256000117" </w:instrText>
      </w:r>
      <w:r>
        <w:fldChar w:fldCharType="separate"/>
      </w:r>
      <w:r>
        <w:rPr>
          <w:rStyle w:val="Hyperlink"/>
        </w:rPr>
        <w:t>8.2.6.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_Toc256000117 \h </w:instrText>
      </w:r>
      <w:r>
        <w:fldChar w:fldCharType="separate"/>
      </w:r>
      <w:r>
        <w:t>382</w:t>
      </w:r>
      <w:r>
        <w:fldChar w:fldCharType="end"/>
      </w:r>
      <w:r>
        <w:fldChar w:fldCharType="end"/>
      </w:r>
    </w:p>
    <w:p>
      <w:pPr>
        <w:pStyle w:val="TOC3"/>
        <w:rPr>
          <w:rFonts w:ascii="Calibri" w:hAnsi="Calibri"/>
          <w:noProof/>
          <w:sz w:val="22"/>
        </w:rPr>
      </w:pPr>
      <w:r>
        <w:fldChar w:fldCharType="begin"/>
      </w:r>
      <w:r>
        <w:instrText xml:space="preserve"> HYPERLINK \l "_Toc256000118" </w:instrText>
      </w:r>
      <w:r>
        <w:fldChar w:fldCharType="separate"/>
      </w:r>
      <w:r>
        <w:rPr>
          <w:rStyle w:val="Hyperlink"/>
        </w:rPr>
        <w:t>8.2.7.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_Toc256000118 \h </w:instrText>
      </w:r>
      <w:r>
        <w:fldChar w:fldCharType="separate"/>
      </w:r>
      <w:r>
        <w:t>435</w:t>
      </w:r>
      <w:r>
        <w:fldChar w:fldCharType="end"/>
      </w:r>
      <w:r>
        <w:fldChar w:fldCharType="end"/>
      </w:r>
    </w:p>
    <w:p>
      <w:pPr>
        <w:pStyle w:val="TOC3"/>
        <w:rPr>
          <w:rFonts w:ascii="Calibri" w:hAnsi="Calibri"/>
          <w:noProof/>
          <w:sz w:val="22"/>
        </w:rPr>
      </w:pPr>
      <w:r>
        <w:fldChar w:fldCharType="begin"/>
      </w:r>
      <w:r>
        <w:instrText xml:space="preserve"> HYPERLINK \l "_Toc256000119" </w:instrText>
      </w:r>
      <w:r>
        <w:fldChar w:fldCharType="separate"/>
      </w:r>
      <w:r>
        <w:rPr>
          <w:rStyle w:val="Hyperlink"/>
        </w:rPr>
        <w:t>8.2.8.</w:t>
      </w:r>
      <w:r>
        <w:rPr>
          <w:rStyle w:val="Hyperlink"/>
        </w:rPr>
        <w:t xml:space="preserve"> </w:t>
      </w:r>
      <w:r>
        <w:rPr>
          <w:rStyle w:val="Hyperlink"/>
        </w:rPr>
        <w:t>M10 — Агроекология и климат (член 28)</w:t>
      </w:r>
      <w:r>
        <w:tab/>
      </w:r>
      <w:r>
        <w:fldChar w:fldCharType="begin"/>
      </w:r>
      <w:r>
        <w:instrText xml:space="preserve"> PAGEREF _Toc256000119 \h </w:instrText>
      </w:r>
      <w:r>
        <w:fldChar w:fldCharType="separate"/>
      </w:r>
      <w:r>
        <w:t>448</w:t>
      </w:r>
      <w:r>
        <w:fldChar w:fldCharType="end"/>
      </w:r>
      <w:r>
        <w:fldChar w:fldCharType="end"/>
      </w:r>
    </w:p>
    <w:p>
      <w:pPr>
        <w:pStyle w:val="TOC3"/>
        <w:rPr>
          <w:rFonts w:ascii="Calibri" w:hAnsi="Calibri"/>
          <w:noProof/>
          <w:sz w:val="22"/>
        </w:rPr>
      </w:pPr>
      <w:r>
        <w:fldChar w:fldCharType="begin"/>
      </w:r>
      <w:r>
        <w:instrText xml:space="preserve"> HYPERLINK \l "_Toc256000120" </w:instrText>
      </w:r>
      <w:r>
        <w:fldChar w:fldCharType="separate"/>
      </w:r>
      <w:r>
        <w:rPr>
          <w:rStyle w:val="Hyperlink"/>
        </w:rPr>
        <w:t>8.2.9.</w:t>
      </w:r>
      <w:r>
        <w:rPr>
          <w:rStyle w:val="Hyperlink"/>
        </w:rPr>
        <w:t xml:space="preserve"> </w:t>
      </w:r>
      <w:r>
        <w:rPr>
          <w:rStyle w:val="Hyperlink"/>
        </w:rPr>
        <w:t>М11 — Биологично земеделие (член 29)</w:t>
      </w:r>
      <w:r>
        <w:tab/>
      </w:r>
      <w:r>
        <w:fldChar w:fldCharType="begin"/>
      </w:r>
      <w:r>
        <w:instrText xml:space="preserve"> PAGEREF _Toc256000120 \h </w:instrText>
      </w:r>
      <w:r>
        <w:fldChar w:fldCharType="separate"/>
      </w:r>
      <w:r>
        <w:t>493</w:t>
      </w:r>
      <w:r>
        <w:fldChar w:fldCharType="end"/>
      </w:r>
      <w:r>
        <w:fldChar w:fldCharType="end"/>
      </w:r>
    </w:p>
    <w:p>
      <w:pPr>
        <w:pStyle w:val="TOC3"/>
        <w:rPr>
          <w:rFonts w:ascii="Calibri" w:hAnsi="Calibri"/>
          <w:noProof/>
          <w:sz w:val="22"/>
        </w:rPr>
      </w:pPr>
      <w:r>
        <w:fldChar w:fldCharType="begin"/>
      </w:r>
      <w:r>
        <w:instrText xml:space="preserve"> HYPERLINK \l "_Toc256000121" </w:instrText>
      </w:r>
      <w:r>
        <w:fldChar w:fldCharType="separate"/>
      </w:r>
      <w:r>
        <w:rPr>
          <w:rStyle w:val="Hyperlink"/>
        </w:rPr>
        <w:t>8.2.10.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_Toc256000121 \h </w:instrText>
      </w:r>
      <w:r>
        <w:fldChar w:fldCharType="separate"/>
      </w:r>
      <w:r>
        <w:t>516</w:t>
      </w:r>
      <w:r>
        <w:fldChar w:fldCharType="end"/>
      </w:r>
      <w:r>
        <w:fldChar w:fldCharType="end"/>
      </w:r>
    </w:p>
    <w:p>
      <w:pPr>
        <w:pStyle w:val="TOC3"/>
        <w:rPr>
          <w:rFonts w:ascii="Calibri" w:hAnsi="Calibri"/>
          <w:noProof/>
          <w:sz w:val="22"/>
        </w:rPr>
      </w:pPr>
      <w:r>
        <w:fldChar w:fldCharType="begin"/>
      </w:r>
      <w:r>
        <w:instrText xml:space="preserve"> HYPERLINK \l "_Toc256000122" </w:instrText>
      </w:r>
      <w:r>
        <w:fldChar w:fldCharType="separate"/>
      </w:r>
      <w:r>
        <w:rPr>
          <w:rStyle w:val="Hyperlink"/>
        </w:rPr>
        <w:t>8.2.11.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_Toc256000122 \h </w:instrText>
      </w:r>
      <w:r>
        <w:fldChar w:fldCharType="separate"/>
      </w:r>
      <w:r>
        <w:t>535</w:t>
      </w:r>
      <w:r>
        <w:fldChar w:fldCharType="end"/>
      </w:r>
      <w:r>
        <w:fldChar w:fldCharType="end"/>
      </w:r>
    </w:p>
    <w:p>
      <w:pPr>
        <w:pStyle w:val="TOC3"/>
        <w:rPr>
          <w:rFonts w:ascii="Calibri" w:hAnsi="Calibri"/>
          <w:noProof/>
          <w:sz w:val="22"/>
        </w:rPr>
      </w:pPr>
      <w:r>
        <w:fldChar w:fldCharType="begin"/>
      </w:r>
      <w:r>
        <w:instrText xml:space="preserve"> HYPERLINK \l "_Toc256000123" </w:instrText>
      </w:r>
      <w:r>
        <w:fldChar w:fldCharType="separate"/>
      </w:r>
      <w:r>
        <w:rPr>
          <w:rStyle w:val="Hyperlink"/>
        </w:rPr>
        <w:t>8.2.12.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_Toc256000123 \h </w:instrText>
      </w:r>
      <w:r>
        <w:fldChar w:fldCharType="separate"/>
      </w:r>
      <w:r>
        <w:t>551</w:t>
      </w:r>
      <w:r>
        <w:fldChar w:fldCharType="end"/>
      </w:r>
      <w:r>
        <w:fldChar w:fldCharType="end"/>
      </w:r>
    </w:p>
    <w:p>
      <w:pPr>
        <w:pStyle w:val="TOC3"/>
        <w:rPr>
          <w:rFonts w:ascii="Calibri" w:hAnsi="Calibri"/>
          <w:noProof/>
          <w:sz w:val="22"/>
        </w:rPr>
      </w:pPr>
      <w:r>
        <w:fldChar w:fldCharType="begin"/>
      </w:r>
      <w:r>
        <w:instrText xml:space="preserve"> HYPERLINK \l "_Toc256000124" </w:instrText>
      </w:r>
      <w:r>
        <w:fldChar w:fldCharType="separate"/>
      </w:r>
      <w:r>
        <w:rPr>
          <w:rStyle w:val="Hyperlink"/>
        </w:rPr>
        <w:t>8.2.13.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_Toc256000124 \h </w:instrText>
      </w:r>
      <w:r>
        <w:fldChar w:fldCharType="separate"/>
      </w:r>
      <w:r>
        <w:t>566</w:t>
      </w:r>
      <w:r>
        <w:fldChar w:fldCharType="end"/>
      </w:r>
      <w:r>
        <w:fldChar w:fldCharType="end"/>
      </w:r>
    </w:p>
    <w:p>
      <w:pPr>
        <w:pStyle w:val="TOC3"/>
        <w:rPr>
          <w:rFonts w:ascii="Calibri" w:hAnsi="Calibri"/>
          <w:noProof/>
          <w:sz w:val="22"/>
        </w:rPr>
      </w:pPr>
      <w:r>
        <w:fldChar w:fldCharType="begin"/>
      </w:r>
      <w:r>
        <w:instrText xml:space="preserve"> HYPERLINK \l "_Toc256000125" </w:instrText>
      </w:r>
      <w:r>
        <w:fldChar w:fldCharType="separate"/>
      </w:r>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_Toc256000125 \h </w:instrText>
      </w:r>
      <w:r>
        <w:fldChar w:fldCharType="separate"/>
      </w:r>
      <w:r>
        <w:t>576</w:t>
      </w:r>
      <w:r>
        <w:fldChar w:fldCharType="end"/>
      </w:r>
      <w:r>
        <w:fldChar w:fldCharType="end"/>
      </w:r>
    </w:p>
    <w:p>
      <w:pPr>
        <w:pStyle w:val="TOC3"/>
        <w:rPr>
          <w:rFonts w:ascii="Calibri" w:hAnsi="Calibri"/>
          <w:noProof/>
          <w:sz w:val="22"/>
        </w:rPr>
      </w:pPr>
      <w:r>
        <w:fldChar w:fldCharType="begin"/>
      </w:r>
      <w:r>
        <w:instrText xml:space="preserve"> HYPERLINK \l "_Toc256000126" </w:instrText>
      </w:r>
      <w:r>
        <w:fldChar w:fldCharType="separate"/>
      </w:r>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_Toc256000126 \h </w:instrText>
      </w:r>
      <w:r>
        <w:fldChar w:fldCharType="separate"/>
      </w:r>
      <w:r>
        <w:t>603</w:t>
      </w:r>
      <w:r>
        <w:fldChar w:fldCharType="end"/>
      </w:r>
      <w:r>
        <w:fldChar w:fldCharType="end"/>
      </w:r>
    </w:p>
    <w:p>
      <w:pPr>
        <w:pStyle w:val="TOC1"/>
        <w:rPr>
          <w:rFonts w:ascii="Calibri" w:hAnsi="Calibri"/>
          <w:noProof/>
          <w:sz w:val="22"/>
        </w:rPr>
      </w:pPr>
      <w:r>
        <w:fldChar w:fldCharType="begin"/>
      </w:r>
      <w:r>
        <w:instrText xml:space="preserve"> HYPERLINK \l "_Toc256000127" </w:instrText>
      </w:r>
      <w:r>
        <w:fldChar w:fldCharType="separate"/>
      </w:r>
      <w:r>
        <w:rPr>
          <w:rStyle w:val="Hyperlink"/>
        </w:rPr>
        <w:t>9.</w:t>
      </w:r>
      <w:r>
        <w:rPr>
          <w:rStyle w:val="Hyperlink"/>
        </w:rPr>
        <w:t xml:space="preserve"> </w:t>
      </w:r>
      <w:r>
        <w:rPr>
          <w:rStyle w:val="Hyperlink"/>
        </w:rPr>
        <w:t>План за оценка</w:t>
      </w:r>
      <w:r>
        <w:tab/>
      </w:r>
      <w:r>
        <w:fldChar w:fldCharType="begin"/>
      </w:r>
      <w:r>
        <w:instrText xml:space="preserve"> PAGEREF _Toc256000127 \h </w:instrText>
      </w:r>
      <w:r>
        <w:fldChar w:fldCharType="separate"/>
      </w:r>
      <w:r>
        <w:t>642</w:t>
      </w:r>
      <w:r>
        <w:fldChar w:fldCharType="end"/>
      </w:r>
      <w:r>
        <w:fldChar w:fldCharType="end"/>
      </w:r>
    </w:p>
    <w:p>
      <w:pPr>
        <w:pStyle w:val="TOC2"/>
        <w:rPr>
          <w:rFonts w:ascii="Calibri" w:hAnsi="Calibri"/>
          <w:noProof/>
          <w:sz w:val="22"/>
        </w:rPr>
      </w:pPr>
      <w:r>
        <w:fldChar w:fldCharType="begin"/>
      </w:r>
      <w:r>
        <w:instrText xml:space="preserve"> HYPERLINK \l "_Toc256000128" </w:instrText>
      </w:r>
      <w:r>
        <w:fldChar w:fldCharType="separate"/>
      </w:r>
      <w:r>
        <w:rPr>
          <w:rStyle w:val="Hyperlink"/>
        </w:rPr>
        <w:t>9.1.</w:t>
      </w:r>
      <w:r>
        <w:rPr>
          <w:rStyle w:val="Hyperlink"/>
        </w:rPr>
        <w:t xml:space="preserve"> </w:t>
      </w:r>
      <w:r>
        <w:rPr>
          <w:rStyle w:val="Hyperlink"/>
        </w:rPr>
        <w:t>Цели и задачи</w:t>
      </w:r>
      <w:r>
        <w:tab/>
      </w:r>
      <w:r>
        <w:fldChar w:fldCharType="begin"/>
      </w:r>
      <w:r>
        <w:instrText xml:space="preserve"> PAGEREF _Toc256000128 \h </w:instrText>
      </w:r>
      <w:r>
        <w:fldChar w:fldCharType="separate"/>
      </w:r>
      <w:r>
        <w:t>642</w:t>
      </w:r>
      <w:r>
        <w:fldChar w:fldCharType="end"/>
      </w:r>
      <w:r>
        <w:fldChar w:fldCharType="end"/>
      </w:r>
    </w:p>
    <w:p>
      <w:pPr>
        <w:pStyle w:val="TOC2"/>
        <w:rPr>
          <w:rFonts w:ascii="Calibri" w:hAnsi="Calibri"/>
          <w:noProof/>
          <w:sz w:val="22"/>
        </w:rPr>
      </w:pPr>
      <w:r>
        <w:fldChar w:fldCharType="begin"/>
      </w:r>
      <w:r>
        <w:instrText xml:space="preserve"> HYPERLINK \l "_Toc256000129" </w:instrText>
      </w:r>
      <w:r>
        <w:fldChar w:fldCharType="separate"/>
      </w:r>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_Toc256000129 \h </w:instrText>
      </w:r>
      <w:r>
        <w:fldChar w:fldCharType="separate"/>
      </w:r>
      <w:r>
        <w:t>643</w:t>
      </w:r>
      <w:r>
        <w:fldChar w:fldCharType="end"/>
      </w:r>
      <w:r>
        <w:fldChar w:fldCharType="end"/>
      </w:r>
    </w:p>
    <w:p>
      <w:pPr>
        <w:pStyle w:val="TOC2"/>
        <w:rPr>
          <w:rFonts w:ascii="Calibri" w:hAnsi="Calibri"/>
          <w:noProof/>
          <w:sz w:val="22"/>
        </w:rPr>
      </w:pPr>
      <w:r>
        <w:fldChar w:fldCharType="begin"/>
      </w:r>
      <w:r>
        <w:instrText xml:space="preserve"> HYPERLINK \l "_Toc256000130" </w:instrText>
      </w:r>
      <w:r>
        <w:fldChar w:fldCharType="separate"/>
      </w:r>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_Toc256000130 \h </w:instrText>
      </w:r>
      <w:r>
        <w:fldChar w:fldCharType="separate"/>
      </w:r>
      <w:r>
        <w:t>645</w:t>
      </w:r>
      <w:r>
        <w:fldChar w:fldCharType="end"/>
      </w:r>
      <w:r>
        <w:fldChar w:fldCharType="end"/>
      </w:r>
    </w:p>
    <w:p>
      <w:pPr>
        <w:pStyle w:val="TOC2"/>
        <w:rPr>
          <w:rFonts w:ascii="Calibri" w:hAnsi="Calibri"/>
          <w:noProof/>
          <w:sz w:val="22"/>
        </w:rPr>
      </w:pPr>
      <w:r>
        <w:fldChar w:fldCharType="begin"/>
      </w:r>
      <w:r>
        <w:instrText xml:space="preserve"> HYPERLINK \l "_Toc256000131" </w:instrText>
      </w:r>
      <w:r>
        <w:fldChar w:fldCharType="separate"/>
      </w:r>
      <w:r>
        <w:rPr>
          <w:rStyle w:val="Hyperlink"/>
        </w:rPr>
        <w:t>9.4.</w:t>
      </w:r>
      <w:r>
        <w:rPr>
          <w:rStyle w:val="Hyperlink"/>
        </w:rPr>
        <w:t xml:space="preserve"> </w:t>
      </w:r>
      <w:r>
        <w:rPr>
          <w:rStyle w:val="Hyperlink"/>
        </w:rPr>
        <w:t>Данни и информация</w:t>
      </w:r>
      <w:r>
        <w:tab/>
      </w:r>
      <w:r>
        <w:fldChar w:fldCharType="begin"/>
      </w:r>
      <w:r>
        <w:instrText xml:space="preserve"> PAGEREF _Toc256000131 \h </w:instrText>
      </w:r>
      <w:r>
        <w:fldChar w:fldCharType="separate"/>
      </w:r>
      <w:r>
        <w:t>649</w:t>
      </w:r>
      <w:r>
        <w:fldChar w:fldCharType="end"/>
      </w:r>
      <w:r>
        <w:fldChar w:fldCharType="end"/>
      </w:r>
    </w:p>
    <w:p>
      <w:pPr>
        <w:pStyle w:val="TOC2"/>
        <w:rPr>
          <w:rFonts w:ascii="Calibri" w:hAnsi="Calibri"/>
          <w:noProof/>
          <w:sz w:val="22"/>
        </w:rPr>
      </w:pPr>
      <w:r>
        <w:fldChar w:fldCharType="begin"/>
      </w:r>
      <w:r>
        <w:instrText xml:space="preserve"> HYPERLINK \l "_Toc256000132" </w:instrText>
      </w:r>
      <w:r>
        <w:fldChar w:fldCharType="separate"/>
      </w:r>
      <w:r>
        <w:rPr>
          <w:rStyle w:val="Hyperlink"/>
        </w:rPr>
        <w:t>9.5.</w:t>
      </w:r>
      <w:r>
        <w:rPr>
          <w:rStyle w:val="Hyperlink"/>
        </w:rPr>
        <w:t xml:space="preserve"> </w:t>
      </w:r>
      <w:r>
        <w:rPr>
          <w:rStyle w:val="Hyperlink"/>
        </w:rPr>
        <w:t>График</w:t>
      </w:r>
      <w:r>
        <w:tab/>
      </w:r>
      <w:r>
        <w:fldChar w:fldCharType="begin"/>
      </w:r>
      <w:r>
        <w:instrText xml:space="preserve"> PAGEREF _Toc256000132 \h </w:instrText>
      </w:r>
      <w:r>
        <w:fldChar w:fldCharType="separate"/>
      </w:r>
      <w:r>
        <w:t>651</w:t>
      </w:r>
      <w:r>
        <w:fldChar w:fldCharType="end"/>
      </w:r>
      <w:r>
        <w:fldChar w:fldCharType="end"/>
      </w:r>
    </w:p>
    <w:p>
      <w:pPr>
        <w:pStyle w:val="TOC2"/>
        <w:rPr>
          <w:rFonts w:ascii="Calibri" w:hAnsi="Calibri"/>
          <w:noProof/>
          <w:sz w:val="22"/>
        </w:rPr>
      </w:pPr>
      <w:r>
        <w:fldChar w:fldCharType="begin"/>
      </w:r>
      <w:r>
        <w:instrText xml:space="preserve"> HYPERLINK \l "_Toc256000133" </w:instrText>
      </w:r>
      <w:r>
        <w:fldChar w:fldCharType="separate"/>
      </w:r>
      <w:r>
        <w:rPr>
          <w:rStyle w:val="Hyperlink"/>
        </w:rPr>
        <w:t>9.6.</w:t>
      </w:r>
      <w:r>
        <w:rPr>
          <w:rStyle w:val="Hyperlink"/>
        </w:rPr>
        <w:t xml:space="preserve"> </w:t>
      </w:r>
      <w:r>
        <w:rPr>
          <w:rStyle w:val="Hyperlink"/>
        </w:rPr>
        <w:t>Комуникация</w:t>
      </w:r>
      <w:r>
        <w:tab/>
      </w:r>
      <w:r>
        <w:fldChar w:fldCharType="begin"/>
      </w:r>
      <w:r>
        <w:instrText xml:space="preserve"> PAGEREF _Toc256000133 \h </w:instrText>
      </w:r>
      <w:r>
        <w:fldChar w:fldCharType="separate"/>
      </w:r>
      <w:r>
        <w:t>653</w:t>
      </w:r>
      <w:r>
        <w:fldChar w:fldCharType="end"/>
      </w:r>
      <w:r>
        <w:fldChar w:fldCharType="end"/>
      </w:r>
    </w:p>
    <w:p>
      <w:pPr>
        <w:pStyle w:val="TOC2"/>
        <w:rPr>
          <w:rFonts w:ascii="Calibri" w:hAnsi="Calibri"/>
          <w:noProof/>
          <w:sz w:val="22"/>
        </w:rPr>
      </w:pPr>
      <w:r>
        <w:fldChar w:fldCharType="begin"/>
      </w:r>
      <w:r>
        <w:instrText xml:space="preserve"> HYPERLINK \l "_Toc256000134" </w:instrText>
      </w:r>
      <w:r>
        <w:fldChar w:fldCharType="separate"/>
      </w:r>
      <w:r>
        <w:rPr>
          <w:rStyle w:val="Hyperlink"/>
        </w:rPr>
        <w:t>9.7.</w:t>
      </w:r>
      <w:r>
        <w:rPr>
          <w:rStyle w:val="Hyperlink"/>
        </w:rPr>
        <w:t xml:space="preserve"> </w:t>
      </w:r>
      <w:r>
        <w:rPr>
          <w:rStyle w:val="Hyperlink"/>
        </w:rPr>
        <w:t>Ресурси</w:t>
      </w:r>
      <w:r>
        <w:tab/>
      </w:r>
      <w:r>
        <w:fldChar w:fldCharType="begin"/>
      </w:r>
      <w:r>
        <w:instrText xml:space="preserve"> PAGEREF _Toc256000134 \h </w:instrText>
      </w:r>
      <w:r>
        <w:fldChar w:fldCharType="separate"/>
      </w:r>
      <w:r>
        <w:t>655</w:t>
      </w:r>
      <w:r>
        <w:fldChar w:fldCharType="end"/>
      </w:r>
      <w:r>
        <w:fldChar w:fldCharType="end"/>
      </w:r>
    </w:p>
    <w:p>
      <w:pPr>
        <w:pStyle w:val="TOC1"/>
        <w:rPr>
          <w:rFonts w:ascii="Calibri" w:hAnsi="Calibri"/>
          <w:noProof/>
          <w:sz w:val="22"/>
        </w:rPr>
      </w:pPr>
      <w:r>
        <w:fldChar w:fldCharType="begin"/>
      </w:r>
      <w:r>
        <w:instrText xml:space="preserve"> HYPERLINK \l "_Toc256000135" </w:instrText>
      </w:r>
      <w:r>
        <w:fldChar w:fldCharType="separate"/>
      </w:r>
      <w:r>
        <w:rPr>
          <w:rStyle w:val="Hyperlink"/>
        </w:rPr>
        <w:t>10.</w:t>
      </w:r>
      <w:r>
        <w:rPr>
          <w:rStyle w:val="Hyperlink"/>
        </w:rPr>
        <w:t xml:space="preserve"> </w:t>
      </w:r>
      <w:r>
        <w:rPr>
          <w:rStyle w:val="Hyperlink"/>
        </w:rPr>
        <w:t>Финансов план</w:t>
      </w:r>
      <w:r>
        <w:tab/>
      </w:r>
      <w:r>
        <w:fldChar w:fldCharType="begin"/>
      </w:r>
      <w:r>
        <w:instrText xml:space="preserve"> PAGEREF _Toc256000135 \h </w:instrText>
      </w:r>
      <w:r>
        <w:fldChar w:fldCharType="separate"/>
      </w:r>
      <w:r>
        <w:t>657</w:t>
      </w:r>
      <w:r>
        <w:fldChar w:fldCharType="end"/>
      </w:r>
      <w:r>
        <w:fldChar w:fldCharType="end"/>
      </w:r>
    </w:p>
    <w:p>
      <w:pPr>
        <w:pStyle w:val="TOC2"/>
        <w:rPr>
          <w:rFonts w:ascii="Calibri" w:hAnsi="Calibri"/>
          <w:noProof/>
          <w:sz w:val="22"/>
        </w:rPr>
      </w:pPr>
      <w:r>
        <w:fldChar w:fldCharType="begin"/>
      </w:r>
      <w:r>
        <w:instrText xml:space="preserve"> HYPERLINK \l "_Toc256000136" </w:instrText>
      </w:r>
      <w:r>
        <w:fldChar w:fldCharType="separate"/>
      </w:r>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_Toc256000136 \h </w:instrText>
      </w:r>
      <w:r>
        <w:fldChar w:fldCharType="separate"/>
      </w:r>
      <w:r>
        <w:t>657</w:t>
      </w:r>
      <w:r>
        <w:fldChar w:fldCharType="end"/>
      </w:r>
      <w:r>
        <w:fldChar w:fldCharType="end"/>
      </w:r>
    </w:p>
    <w:p>
      <w:pPr>
        <w:pStyle w:val="TOC2"/>
        <w:rPr>
          <w:rFonts w:ascii="Calibri" w:hAnsi="Calibri"/>
          <w:noProof/>
          <w:sz w:val="22"/>
        </w:rPr>
      </w:pPr>
      <w:r>
        <w:fldChar w:fldCharType="begin"/>
      </w:r>
      <w:r>
        <w:instrText xml:space="preserve"> HYPERLINK \l "_Toc256000137" </w:instrText>
      </w:r>
      <w:r>
        <w:fldChar w:fldCharType="separate"/>
      </w:r>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_Toc256000137 \h </w:instrText>
      </w:r>
      <w:r>
        <w:fldChar w:fldCharType="separate"/>
      </w:r>
      <w:r>
        <w:t>659</w:t>
      </w:r>
      <w:r>
        <w:fldChar w:fldCharType="end"/>
      </w:r>
      <w:r>
        <w:fldChar w:fldCharType="end"/>
      </w:r>
    </w:p>
    <w:p>
      <w:pPr>
        <w:pStyle w:val="TOC2"/>
        <w:rPr>
          <w:rFonts w:ascii="Calibri" w:hAnsi="Calibri"/>
          <w:noProof/>
          <w:sz w:val="22"/>
        </w:rPr>
      </w:pPr>
      <w:r>
        <w:fldChar w:fldCharType="begin"/>
      </w:r>
      <w:r>
        <w:instrText xml:space="preserve"> HYPERLINK \l "_Toc256000138" </w:instrText>
      </w:r>
      <w:r>
        <w:fldChar w:fldCharType="separate"/>
      </w:r>
      <w:r>
        <w:rPr>
          <w:rStyle w:val="Hyperlink"/>
        </w:rPr>
        <w:t>10.3.</w:t>
      </w:r>
      <w:r>
        <w:rPr>
          <w:rStyle w:val="Hyperlink"/>
        </w:rPr>
        <w:t xml:space="preserve"> </w:t>
      </w:r>
      <w:r>
        <w:rPr>
          <w:rStyle w:val="Hyperlink"/>
        </w:rPr>
        <w:t>Разбивката по мярка или вид операция, с конкретния размер на процентното участие на ЕЗФРСР (в евро за целия период 2014 — 2020 г.)</w:t>
      </w:r>
      <w:r>
        <w:tab/>
      </w:r>
      <w:r>
        <w:fldChar w:fldCharType="begin"/>
      </w:r>
      <w:r>
        <w:instrText xml:space="preserve"> PAGEREF _Toc256000138 \h </w:instrText>
      </w:r>
      <w:r>
        <w:fldChar w:fldCharType="separate"/>
      </w:r>
      <w:r>
        <w:t>660</w:t>
      </w:r>
      <w:r>
        <w:fldChar w:fldCharType="end"/>
      </w:r>
      <w:r>
        <w:fldChar w:fldCharType="end"/>
      </w:r>
    </w:p>
    <w:p>
      <w:pPr>
        <w:pStyle w:val="TOC3"/>
        <w:rPr>
          <w:rFonts w:ascii="Calibri" w:hAnsi="Calibri"/>
          <w:noProof/>
          <w:sz w:val="22"/>
        </w:rPr>
      </w:pPr>
      <w:r>
        <w:fldChar w:fldCharType="begin"/>
      </w:r>
      <w:r>
        <w:instrText xml:space="preserve"> HYPERLINK \l "_Toc256000139" </w:instrText>
      </w:r>
      <w:r>
        <w:fldChar w:fldCharType="separate"/>
      </w:r>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_Toc256000139 \h </w:instrText>
      </w:r>
      <w:r>
        <w:fldChar w:fldCharType="separate"/>
      </w:r>
      <w:r>
        <w:t>660</w:t>
      </w:r>
      <w:r>
        <w:fldChar w:fldCharType="end"/>
      </w:r>
      <w:r>
        <w:fldChar w:fldCharType="end"/>
      </w:r>
    </w:p>
    <w:p>
      <w:pPr>
        <w:pStyle w:val="TOC3"/>
        <w:rPr>
          <w:rFonts w:ascii="Calibri" w:hAnsi="Calibri"/>
          <w:noProof/>
          <w:sz w:val="22"/>
        </w:rPr>
      </w:pPr>
      <w:r>
        <w:fldChar w:fldCharType="begin"/>
      </w:r>
      <w:r>
        <w:instrText xml:space="preserve"> HYPERLINK \l "_Toc256000140" </w:instrText>
      </w:r>
      <w:r>
        <w:fldChar w:fldCharType="separate"/>
      </w:r>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_Toc256000140 \h </w:instrText>
      </w:r>
      <w:r>
        <w:fldChar w:fldCharType="separate"/>
      </w:r>
      <w:r>
        <w:t>662</w:t>
      </w:r>
      <w:r>
        <w:fldChar w:fldCharType="end"/>
      </w:r>
      <w:r>
        <w:fldChar w:fldCharType="end"/>
      </w:r>
    </w:p>
    <w:p>
      <w:pPr>
        <w:pStyle w:val="TOC3"/>
        <w:rPr>
          <w:rFonts w:ascii="Calibri" w:hAnsi="Calibri"/>
          <w:noProof/>
          <w:sz w:val="22"/>
        </w:rPr>
      </w:pPr>
      <w:r>
        <w:fldChar w:fldCharType="begin"/>
      </w:r>
      <w:r>
        <w:instrText xml:space="preserve"> HYPERLINK \l "_Toc256000141" </w:instrText>
      </w:r>
      <w:r>
        <w:fldChar w:fldCharType="separate"/>
      </w:r>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_Toc256000141 \h </w:instrText>
      </w:r>
      <w:r>
        <w:fldChar w:fldCharType="separate"/>
      </w:r>
      <w:r>
        <w:t>664</w:t>
      </w:r>
      <w:r>
        <w:fldChar w:fldCharType="end"/>
      </w:r>
      <w:r>
        <w:fldChar w:fldCharType="end"/>
      </w:r>
    </w:p>
    <w:p>
      <w:pPr>
        <w:pStyle w:val="TOC3"/>
        <w:rPr>
          <w:rFonts w:ascii="Calibri" w:hAnsi="Calibri"/>
          <w:noProof/>
          <w:sz w:val="22"/>
        </w:rPr>
      </w:pPr>
      <w:r>
        <w:fldChar w:fldCharType="begin"/>
      </w:r>
      <w:r>
        <w:instrText xml:space="preserve"> HYPERLINK \l "_Toc256000142" </w:instrText>
      </w:r>
      <w:r>
        <w:fldChar w:fldCharType="separate"/>
      </w:r>
      <w:r>
        <w:rPr>
          <w:rStyle w:val="Hyperlink"/>
        </w:rPr>
        <w:t>10.3.4.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_Toc256000142 \h </w:instrText>
      </w:r>
      <w:r>
        <w:fldChar w:fldCharType="separate"/>
      </w:r>
      <w:r>
        <w:t>666</w:t>
      </w:r>
      <w:r>
        <w:fldChar w:fldCharType="end"/>
      </w:r>
      <w:r>
        <w:fldChar w:fldCharType="end"/>
      </w:r>
    </w:p>
    <w:p>
      <w:pPr>
        <w:pStyle w:val="TOC3"/>
        <w:rPr>
          <w:rFonts w:ascii="Calibri" w:hAnsi="Calibri"/>
          <w:noProof/>
          <w:sz w:val="22"/>
        </w:rPr>
      </w:pPr>
      <w:r>
        <w:fldChar w:fldCharType="begin"/>
      </w:r>
      <w:r>
        <w:instrText xml:space="preserve"> HYPERLINK \l "_Toc256000143" </w:instrText>
      </w:r>
      <w:r>
        <w:fldChar w:fldCharType="separate"/>
      </w:r>
      <w:r>
        <w:rPr>
          <w:rStyle w:val="Hyperlink"/>
        </w:rPr>
        <w:t>10.3.5.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_Toc256000143 \h </w:instrText>
      </w:r>
      <w:r>
        <w:fldChar w:fldCharType="separate"/>
      </w:r>
      <w:r>
        <w:t>668</w:t>
      </w:r>
      <w:r>
        <w:fldChar w:fldCharType="end"/>
      </w:r>
      <w:r>
        <w:fldChar w:fldCharType="end"/>
      </w:r>
    </w:p>
    <w:p>
      <w:pPr>
        <w:pStyle w:val="TOC3"/>
        <w:rPr>
          <w:rFonts w:ascii="Calibri" w:hAnsi="Calibri"/>
          <w:noProof/>
          <w:sz w:val="22"/>
        </w:rPr>
      </w:pPr>
      <w:r>
        <w:fldChar w:fldCharType="begin"/>
      </w:r>
      <w:r>
        <w:instrText xml:space="preserve"> HYPERLINK \l "_Toc256000144" </w:instrText>
      </w:r>
      <w:r>
        <w:fldChar w:fldCharType="separate"/>
      </w:r>
      <w:r>
        <w:rPr>
          <w:rStyle w:val="Hyperlink"/>
        </w:rPr>
        <w:t>10.3.6.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_Toc256000144 \h </w:instrText>
      </w:r>
      <w:r>
        <w:fldChar w:fldCharType="separate"/>
      </w:r>
      <w:r>
        <w:t>669</w:t>
      </w:r>
      <w:r>
        <w:fldChar w:fldCharType="end"/>
      </w:r>
      <w:r>
        <w:fldChar w:fldCharType="end"/>
      </w:r>
    </w:p>
    <w:p>
      <w:pPr>
        <w:pStyle w:val="TOC3"/>
        <w:rPr>
          <w:rFonts w:ascii="Calibri" w:hAnsi="Calibri"/>
          <w:noProof/>
          <w:sz w:val="22"/>
        </w:rPr>
      </w:pPr>
      <w:r>
        <w:fldChar w:fldCharType="begin"/>
      </w:r>
      <w:r>
        <w:instrText xml:space="preserve"> HYPERLINK \l "_Toc256000145" </w:instrText>
      </w:r>
      <w:r>
        <w:fldChar w:fldCharType="separate"/>
      </w:r>
      <w:r>
        <w:rPr>
          <w:rStyle w:val="Hyperlink"/>
        </w:rPr>
        <w:t>10.3.7.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_Toc256000145 \h </w:instrText>
      </w:r>
      <w:r>
        <w:fldChar w:fldCharType="separate"/>
      </w:r>
      <w:r>
        <w:t>671</w:t>
      </w:r>
      <w:r>
        <w:fldChar w:fldCharType="end"/>
      </w:r>
      <w:r>
        <w:fldChar w:fldCharType="end"/>
      </w:r>
    </w:p>
    <w:p>
      <w:pPr>
        <w:pStyle w:val="TOC3"/>
        <w:rPr>
          <w:rFonts w:ascii="Calibri" w:hAnsi="Calibri"/>
          <w:noProof/>
          <w:sz w:val="22"/>
        </w:rPr>
      </w:pPr>
      <w:r>
        <w:fldChar w:fldCharType="begin"/>
      </w:r>
      <w:r>
        <w:instrText xml:space="preserve"> HYPERLINK \l "_Toc256000146" </w:instrText>
      </w:r>
      <w:r>
        <w:fldChar w:fldCharType="separate"/>
      </w:r>
      <w:r>
        <w:rPr>
          <w:rStyle w:val="Hyperlink"/>
        </w:rPr>
        <w:t>10.3.8.</w:t>
      </w:r>
      <w:r>
        <w:rPr>
          <w:rStyle w:val="Hyperlink"/>
        </w:rPr>
        <w:t xml:space="preserve"> </w:t>
      </w:r>
      <w:r>
        <w:rPr>
          <w:rStyle w:val="Hyperlink"/>
        </w:rPr>
        <w:t>M10 — Агроекология и климат (член 28)</w:t>
      </w:r>
      <w:r>
        <w:tab/>
      </w:r>
      <w:r>
        <w:fldChar w:fldCharType="begin"/>
      </w:r>
      <w:r>
        <w:instrText xml:space="preserve"> PAGEREF _Toc256000146 \h </w:instrText>
      </w:r>
      <w:r>
        <w:fldChar w:fldCharType="separate"/>
      </w:r>
      <w:r>
        <w:t>673</w:t>
      </w:r>
      <w:r>
        <w:fldChar w:fldCharType="end"/>
      </w:r>
      <w:r>
        <w:fldChar w:fldCharType="end"/>
      </w:r>
    </w:p>
    <w:p>
      <w:pPr>
        <w:pStyle w:val="TOC3"/>
        <w:rPr>
          <w:rFonts w:ascii="Calibri" w:hAnsi="Calibri"/>
          <w:noProof/>
          <w:sz w:val="22"/>
        </w:rPr>
      </w:pPr>
      <w:r>
        <w:fldChar w:fldCharType="begin"/>
      </w:r>
      <w:r>
        <w:instrText xml:space="preserve"> HYPERLINK \l "_Toc256000147" </w:instrText>
      </w:r>
      <w:r>
        <w:fldChar w:fldCharType="separate"/>
      </w:r>
      <w:r>
        <w:rPr>
          <w:rStyle w:val="Hyperlink"/>
        </w:rPr>
        <w:t>10.3.9.</w:t>
      </w:r>
      <w:r>
        <w:rPr>
          <w:rStyle w:val="Hyperlink"/>
        </w:rPr>
        <w:t xml:space="preserve"> </w:t>
      </w:r>
      <w:r>
        <w:rPr>
          <w:rStyle w:val="Hyperlink"/>
        </w:rPr>
        <w:t>М11 — Биологично земеделие (член 29)</w:t>
      </w:r>
      <w:r>
        <w:tab/>
      </w:r>
      <w:r>
        <w:fldChar w:fldCharType="begin"/>
      </w:r>
      <w:r>
        <w:instrText xml:space="preserve"> PAGEREF _Toc256000147 \h </w:instrText>
      </w:r>
      <w:r>
        <w:fldChar w:fldCharType="separate"/>
      </w:r>
      <w:r>
        <w:t>675</w:t>
      </w:r>
      <w:r>
        <w:fldChar w:fldCharType="end"/>
      </w:r>
      <w:r>
        <w:fldChar w:fldCharType="end"/>
      </w:r>
    </w:p>
    <w:p>
      <w:pPr>
        <w:pStyle w:val="TOC3"/>
        <w:rPr>
          <w:rFonts w:ascii="Calibri" w:hAnsi="Calibri"/>
          <w:noProof/>
          <w:sz w:val="22"/>
        </w:rPr>
      </w:pPr>
      <w:r>
        <w:fldChar w:fldCharType="begin"/>
      </w:r>
      <w:r>
        <w:instrText xml:space="preserve"> HYPERLINK \l "_Toc256000148" </w:instrText>
      </w:r>
      <w:r>
        <w:fldChar w:fldCharType="separate"/>
      </w:r>
      <w:r>
        <w:rPr>
          <w:rStyle w:val="Hyperlink"/>
        </w:rPr>
        <w:t>10.3.10.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_Toc256000148 \h </w:instrText>
      </w:r>
      <w:r>
        <w:fldChar w:fldCharType="separate"/>
      </w:r>
      <w:r>
        <w:t>677</w:t>
      </w:r>
      <w:r>
        <w:fldChar w:fldCharType="end"/>
      </w:r>
      <w:r>
        <w:fldChar w:fldCharType="end"/>
      </w:r>
    </w:p>
    <w:p>
      <w:pPr>
        <w:pStyle w:val="TOC3"/>
        <w:rPr>
          <w:rFonts w:ascii="Calibri" w:hAnsi="Calibri"/>
          <w:noProof/>
          <w:sz w:val="22"/>
        </w:rPr>
      </w:pPr>
      <w:r>
        <w:fldChar w:fldCharType="begin"/>
      </w:r>
      <w:r>
        <w:instrText xml:space="preserve"> HYPERLINK \l "_Toc256000149" </w:instrText>
      </w:r>
      <w:r>
        <w:fldChar w:fldCharType="separate"/>
      </w:r>
      <w:r>
        <w:rPr>
          <w:rStyle w:val="Hyperlink"/>
        </w:rPr>
        <w:t>10.3.11.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_Toc256000149 \h </w:instrText>
      </w:r>
      <w:r>
        <w:fldChar w:fldCharType="separate"/>
      </w:r>
      <w:r>
        <w:t>679</w:t>
      </w:r>
      <w:r>
        <w:fldChar w:fldCharType="end"/>
      </w:r>
      <w:r>
        <w:fldChar w:fldCharType="end"/>
      </w:r>
    </w:p>
    <w:p>
      <w:pPr>
        <w:pStyle w:val="TOC3"/>
        <w:rPr>
          <w:rFonts w:ascii="Calibri" w:hAnsi="Calibri"/>
          <w:noProof/>
          <w:sz w:val="22"/>
        </w:rPr>
      </w:pPr>
      <w:r>
        <w:fldChar w:fldCharType="begin"/>
      </w:r>
      <w:r>
        <w:instrText xml:space="preserve"> HYPERLINK \l "_Toc256000150" </w:instrText>
      </w:r>
      <w:r>
        <w:fldChar w:fldCharType="separate"/>
      </w:r>
      <w:r>
        <w:rPr>
          <w:rStyle w:val="Hyperlink"/>
        </w:rPr>
        <w:t>10.3.12.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_Toc256000150 \h </w:instrText>
      </w:r>
      <w:r>
        <w:fldChar w:fldCharType="separate"/>
      </w:r>
      <w:r>
        <w:t>681</w:t>
      </w:r>
      <w:r>
        <w:fldChar w:fldCharType="end"/>
      </w:r>
      <w:r>
        <w:fldChar w:fldCharType="end"/>
      </w:r>
    </w:p>
    <w:p>
      <w:pPr>
        <w:pStyle w:val="TOC3"/>
        <w:rPr>
          <w:rFonts w:ascii="Calibri" w:hAnsi="Calibri"/>
          <w:noProof/>
          <w:sz w:val="22"/>
        </w:rPr>
      </w:pPr>
      <w:r>
        <w:fldChar w:fldCharType="begin"/>
      </w:r>
      <w:r>
        <w:instrText xml:space="preserve"> HYPERLINK \l "_Toc256000151" </w:instrText>
      </w:r>
      <w:r>
        <w:fldChar w:fldCharType="separate"/>
      </w:r>
      <w:r>
        <w:rPr>
          <w:rStyle w:val="Hyperlink"/>
        </w:rPr>
        <w:t>10.3.13.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_Toc256000151 \h </w:instrText>
      </w:r>
      <w:r>
        <w:fldChar w:fldCharType="separate"/>
      </w:r>
      <w:r>
        <w:t>682</w:t>
      </w:r>
      <w:r>
        <w:fldChar w:fldCharType="end"/>
      </w:r>
      <w:r>
        <w:fldChar w:fldCharType="end"/>
      </w:r>
    </w:p>
    <w:p>
      <w:pPr>
        <w:pStyle w:val="TOC3"/>
        <w:rPr>
          <w:rFonts w:ascii="Calibri" w:hAnsi="Calibri"/>
          <w:noProof/>
          <w:sz w:val="22"/>
        </w:rPr>
      </w:pPr>
      <w:r>
        <w:fldChar w:fldCharType="begin"/>
      </w:r>
      <w:r>
        <w:instrText xml:space="preserve"> HYPERLINK \l "_Toc256000152" </w:instrText>
      </w:r>
      <w:r>
        <w:fldChar w:fldCharType="separate"/>
      </w:r>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_Toc256000152 \h </w:instrText>
      </w:r>
      <w:r>
        <w:fldChar w:fldCharType="separate"/>
      </w:r>
      <w:r>
        <w:t>684</w:t>
      </w:r>
      <w:r>
        <w:fldChar w:fldCharType="end"/>
      </w:r>
      <w:r>
        <w:fldChar w:fldCharType="end"/>
      </w:r>
    </w:p>
    <w:p>
      <w:pPr>
        <w:pStyle w:val="TOC3"/>
        <w:rPr>
          <w:rFonts w:ascii="Calibri" w:hAnsi="Calibri"/>
          <w:noProof/>
          <w:sz w:val="22"/>
        </w:rPr>
      </w:pPr>
      <w:r>
        <w:fldChar w:fldCharType="begin"/>
      </w:r>
      <w:r>
        <w:instrText xml:space="preserve"> HYPERLINK \l "_Toc256000153" </w:instrText>
      </w:r>
      <w:r>
        <w:fldChar w:fldCharType="separate"/>
      </w:r>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_Toc256000153 \h </w:instrText>
      </w:r>
      <w:r>
        <w:fldChar w:fldCharType="separate"/>
      </w:r>
      <w:r>
        <w:t>686</w:t>
      </w:r>
      <w:r>
        <w:fldChar w:fldCharType="end"/>
      </w:r>
      <w:r>
        <w:fldChar w:fldCharType="end"/>
      </w:r>
    </w:p>
    <w:p>
      <w:pPr>
        <w:pStyle w:val="TOC3"/>
        <w:rPr>
          <w:rFonts w:ascii="Calibri" w:hAnsi="Calibri"/>
          <w:noProof/>
          <w:sz w:val="22"/>
        </w:rPr>
      </w:pPr>
      <w:r>
        <w:fldChar w:fldCharType="begin"/>
      </w:r>
      <w:r>
        <w:instrText xml:space="preserve"> HYPERLINK \l "_Toc256000154" </w:instrText>
      </w:r>
      <w:r>
        <w:fldChar w:fldCharType="separate"/>
      </w:r>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_Toc256000154 \h </w:instrText>
      </w:r>
      <w:r>
        <w:fldChar w:fldCharType="separate"/>
      </w:r>
      <w:r>
        <w:t>688</w:t>
      </w:r>
      <w:r>
        <w:fldChar w:fldCharType="end"/>
      </w:r>
      <w:r>
        <w:fldChar w:fldCharType="end"/>
      </w:r>
    </w:p>
    <w:p>
      <w:pPr>
        <w:pStyle w:val="TOC2"/>
        <w:rPr>
          <w:rFonts w:ascii="Calibri" w:hAnsi="Calibri"/>
          <w:noProof/>
          <w:sz w:val="22"/>
        </w:rPr>
      </w:pPr>
      <w:r>
        <w:fldChar w:fldCharType="begin"/>
      </w:r>
      <w:r>
        <w:instrText xml:space="preserve"> HYPERLINK \l "_Toc256000155" </w:instrText>
      </w:r>
      <w:r>
        <w:fldChar w:fldCharType="separate"/>
      </w:r>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_Toc256000155 \h </w:instrText>
      </w:r>
      <w:r>
        <w:fldChar w:fldCharType="separate"/>
      </w:r>
      <w:r>
        <w:t>689</w:t>
      </w:r>
      <w:r>
        <w:fldChar w:fldCharType="end"/>
      </w:r>
      <w:r>
        <w:fldChar w:fldCharType="end"/>
      </w:r>
    </w:p>
    <w:p>
      <w:pPr>
        <w:pStyle w:val="TOC1"/>
        <w:rPr>
          <w:rFonts w:ascii="Calibri" w:hAnsi="Calibri"/>
          <w:noProof/>
          <w:sz w:val="22"/>
        </w:rPr>
      </w:pPr>
      <w:r>
        <w:fldChar w:fldCharType="begin"/>
      </w:r>
      <w:r>
        <w:instrText xml:space="preserve"> HYPERLINK \l "_Toc256000156" </w:instrText>
      </w:r>
      <w:r>
        <w:fldChar w:fldCharType="separate"/>
      </w:r>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_Toc256000156 \h </w:instrText>
      </w:r>
      <w:r>
        <w:fldChar w:fldCharType="separate"/>
      </w:r>
      <w:r>
        <w:t>691</w:t>
      </w:r>
      <w:r>
        <w:fldChar w:fldCharType="end"/>
      </w:r>
      <w:r>
        <w:fldChar w:fldCharType="end"/>
      </w:r>
    </w:p>
    <w:p>
      <w:pPr>
        <w:pStyle w:val="TOC2"/>
        <w:rPr>
          <w:rFonts w:ascii="Calibri" w:hAnsi="Calibri"/>
          <w:noProof/>
          <w:sz w:val="22"/>
        </w:rPr>
      </w:pPr>
      <w:r>
        <w:fldChar w:fldCharType="begin"/>
      </w:r>
      <w:r>
        <w:instrText xml:space="preserve"> HYPERLINK \l "_Toc256000157" </w:instrText>
      </w:r>
      <w:r>
        <w:fldChar w:fldCharType="separate"/>
      </w:r>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_Toc256000157 \h </w:instrText>
      </w:r>
      <w:r>
        <w:fldChar w:fldCharType="separate"/>
      </w:r>
      <w:r>
        <w:t>691</w:t>
      </w:r>
      <w:r>
        <w:fldChar w:fldCharType="end"/>
      </w:r>
      <w:r>
        <w:fldChar w:fldCharType="end"/>
      </w:r>
    </w:p>
    <w:p>
      <w:pPr>
        <w:pStyle w:val="TOC3"/>
        <w:rPr>
          <w:rFonts w:ascii="Calibri" w:hAnsi="Calibri"/>
          <w:noProof/>
          <w:sz w:val="22"/>
        </w:rPr>
      </w:pPr>
      <w:r>
        <w:fldChar w:fldCharType="begin"/>
      </w:r>
      <w:r>
        <w:instrText xml:space="preserve"> HYPERLINK \l "_Toc256000158" </w:instrText>
      </w:r>
      <w:r>
        <w:fldChar w:fldCharType="separate"/>
      </w:r>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_Toc256000158 \h </w:instrText>
      </w:r>
      <w:r>
        <w:fldChar w:fldCharType="separate"/>
      </w:r>
      <w:r>
        <w:t>691</w:t>
      </w:r>
      <w:r>
        <w:fldChar w:fldCharType="end"/>
      </w:r>
      <w:r>
        <w:fldChar w:fldCharType="end"/>
      </w:r>
    </w:p>
    <w:p>
      <w:pPr>
        <w:pStyle w:val="TOC3"/>
        <w:rPr>
          <w:rFonts w:ascii="Calibri" w:hAnsi="Calibri"/>
          <w:noProof/>
          <w:sz w:val="22"/>
        </w:rPr>
      </w:pPr>
      <w:r>
        <w:fldChar w:fldCharType="begin"/>
      </w:r>
      <w:r>
        <w:instrText xml:space="preserve"> HYPERLINK \l "_Toc256000159" </w:instrText>
      </w:r>
      <w:r>
        <w:fldChar w:fldCharType="separate"/>
      </w:r>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_Toc256000159 \h </w:instrText>
      </w:r>
      <w:r>
        <w:fldChar w:fldCharType="separate"/>
      </w:r>
      <w:r>
        <w:t>694</w:t>
      </w:r>
      <w:r>
        <w:fldChar w:fldCharType="end"/>
      </w:r>
      <w:r>
        <w:fldChar w:fldCharType="end"/>
      </w:r>
    </w:p>
    <w:p>
      <w:pPr>
        <w:pStyle w:val="TOC3"/>
        <w:rPr>
          <w:rFonts w:ascii="Calibri" w:hAnsi="Calibri"/>
          <w:noProof/>
          <w:sz w:val="22"/>
        </w:rPr>
      </w:pPr>
      <w:r>
        <w:fldChar w:fldCharType="begin"/>
      </w:r>
      <w:r>
        <w:instrText xml:space="preserve"> HYPERLINK \l "_Toc256000160" </w:instrText>
      </w:r>
      <w:r>
        <w:fldChar w:fldCharType="separate"/>
      </w:r>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_Toc256000160 \h </w:instrText>
      </w:r>
      <w:r>
        <w:fldChar w:fldCharType="separate"/>
      </w:r>
      <w:r>
        <w:t>698</w:t>
      </w:r>
      <w:r>
        <w:fldChar w:fldCharType="end"/>
      </w:r>
      <w:r>
        <w:fldChar w:fldCharType="end"/>
      </w:r>
    </w:p>
    <w:p>
      <w:pPr>
        <w:pStyle w:val="TOC3"/>
        <w:rPr>
          <w:rFonts w:ascii="Calibri" w:hAnsi="Calibri"/>
          <w:noProof/>
          <w:sz w:val="22"/>
        </w:rPr>
      </w:pPr>
      <w:r>
        <w:fldChar w:fldCharType="begin"/>
      </w:r>
      <w:r>
        <w:instrText xml:space="preserve"> HYPERLINK \l "_Toc256000161" </w:instrText>
      </w:r>
      <w:r>
        <w:fldChar w:fldCharType="separate"/>
      </w:r>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_Toc256000161 \h </w:instrText>
      </w:r>
      <w:r>
        <w:fldChar w:fldCharType="separate"/>
      </w:r>
      <w:r>
        <w:t>701</w:t>
      </w:r>
      <w:r>
        <w:fldChar w:fldCharType="end"/>
      </w:r>
      <w:r>
        <w:fldChar w:fldCharType="end"/>
      </w:r>
    </w:p>
    <w:p>
      <w:pPr>
        <w:pStyle w:val="TOC3"/>
        <w:rPr>
          <w:rFonts w:ascii="Calibri" w:hAnsi="Calibri"/>
          <w:noProof/>
          <w:sz w:val="22"/>
        </w:rPr>
      </w:pPr>
      <w:r>
        <w:fldChar w:fldCharType="begin"/>
      </w:r>
      <w:r>
        <w:instrText xml:space="preserve"> HYPERLINK \l "_Toc256000162" </w:instrText>
      </w:r>
      <w:r>
        <w:fldChar w:fldCharType="separate"/>
      </w:r>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_Toc256000162 \h </w:instrText>
      </w:r>
      <w:r>
        <w:fldChar w:fldCharType="separate"/>
      </w:r>
      <w:r>
        <w:t>706</w:t>
      </w:r>
      <w:r>
        <w:fldChar w:fldCharType="end"/>
      </w:r>
      <w:r>
        <w:fldChar w:fldCharType="end"/>
      </w:r>
    </w:p>
    <w:p>
      <w:pPr>
        <w:pStyle w:val="TOC3"/>
        <w:rPr>
          <w:rFonts w:ascii="Calibri" w:hAnsi="Calibri"/>
          <w:noProof/>
          <w:sz w:val="22"/>
        </w:rPr>
      </w:pPr>
      <w:r>
        <w:fldChar w:fldCharType="begin"/>
      </w:r>
      <w:r>
        <w:instrText xml:space="preserve"> HYPERLINK \l "_Toc256000163" </w:instrText>
      </w:r>
      <w:r>
        <w:fldChar w:fldCharType="separate"/>
      </w:r>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_Toc256000163 \h </w:instrText>
      </w:r>
      <w:r>
        <w:fldChar w:fldCharType="separate"/>
      </w:r>
      <w:r>
        <w:t>712</w:t>
      </w:r>
      <w:r>
        <w:fldChar w:fldCharType="end"/>
      </w:r>
      <w:r>
        <w:fldChar w:fldCharType="end"/>
      </w:r>
    </w:p>
    <w:p>
      <w:pPr>
        <w:pStyle w:val="TOC2"/>
        <w:rPr>
          <w:rFonts w:ascii="Calibri" w:hAnsi="Calibri"/>
          <w:noProof/>
          <w:sz w:val="22"/>
        </w:rPr>
      </w:pPr>
      <w:r>
        <w:fldChar w:fldCharType="begin"/>
      </w:r>
      <w:r>
        <w:instrText xml:space="preserve"> HYPERLINK \l "_Toc256000164" </w:instrText>
      </w:r>
      <w:r>
        <w:fldChar w:fldCharType="separate"/>
      </w:r>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_Toc256000164 \h </w:instrText>
      </w:r>
      <w:r>
        <w:fldChar w:fldCharType="separate"/>
      </w:r>
      <w:r>
        <w:t>717</w:t>
      </w:r>
      <w:r>
        <w:fldChar w:fldCharType="end"/>
      </w:r>
      <w:r>
        <w:fldChar w:fldCharType="end"/>
      </w:r>
    </w:p>
    <w:p>
      <w:pPr>
        <w:pStyle w:val="TOC2"/>
        <w:rPr>
          <w:rFonts w:ascii="Calibri" w:hAnsi="Calibri"/>
          <w:noProof/>
          <w:sz w:val="22"/>
        </w:rPr>
      </w:pPr>
      <w:r>
        <w:fldChar w:fldCharType="begin"/>
      </w:r>
      <w:r>
        <w:instrText xml:space="preserve"> HYPERLINK \l "_Toc256000165" </w:instrText>
      </w:r>
      <w:r>
        <w:fldChar w:fldCharType="separate"/>
      </w:r>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_Toc256000165 \h </w:instrText>
      </w:r>
      <w:r>
        <w:fldChar w:fldCharType="separate"/>
      </w:r>
      <w:r>
        <w:t>721</w:t>
      </w:r>
      <w:r>
        <w:fldChar w:fldCharType="end"/>
      </w:r>
      <w:r>
        <w:fldChar w:fldCharType="end"/>
      </w:r>
    </w:p>
    <w:p>
      <w:pPr>
        <w:pStyle w:val="TOC2"/>
        <w:rPr>
          <w:rFonts w:ascii="Calibri" w:hAnsi="Calibri"/>
          <w:noProof/>
          <w:sz w:val="22"/>
        </w:rPr>
      </w:pPr>
      <w:r>
        <w:fldChar w:fldCharType="begin"/>
      </w:r>
      <w:r>
        <w:instrText xml:space="preserve"> HYPERLINK \l "_Toc256000166" </w:instrText>
      </w:r>
      <w:r>
        <w:fldChar w:fldCharType="separate"/>
      </w:r>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_Toc256000166 \h </w:instrText>
      </w:r>
      <w:r>
        <w:fldChar w:fldCharType="separate"/>
      </w:r>
      <w:r>
        <w:t>724</w:t>
      </w:r>
      <w:r>
        <w:fldChar w:fldCharType="end"/>
      </w:r>
      <w:r>
        <w:fldChar w:fldCharType="end"/>
      </w:r>
    </w:p>
    <w:p>
      <w:pPr>
        <w:pStyle w:val="TOC3"/>
        <w:rPr>
          <w:rFonts w:ascii="Calibri" w:hAnsi="Calibri"/>
          <w:noProof/>
          <w:sz w:val="22"/>
        </w:rPr>
      </w:pPr>
      <w:r>
        <w:fldChar w:fldCharType="begin"/>
      </w:r>
      <w:r>
        <w:instrText xml:space="preserve"> HYPERLINK \l "_Toc256000167" </w:instrText>
      </w:r>
      <w:r>
        <w:fldChar w:fldCharType="separate"/>
      </w:r>
      <w:r>
        <w:rPr>
          <w:rStyle w:val="Hyperlink"/>
        </w:rPr>
        <w:t>11.4.1.</w:t>
      </w:r>
      <w:r>
        <w:rPr>
          <w:rStyle w:val="Hyperlink"/>
        </w:rPr>
        <w:t xml:space="preserve"> </w:t>
      </w:r>
      <w:r>
        <w:rPr>
          <w:rStyle w:val="Hyperlink"/>
        </w:rPr>
        <w:t>Земеделска земя</w:t>
      </w:r>
      <w:r>
        <w:tab/>
      </w:r>
      <w:r>
        <w:fldChar w:fldCharType="begin"/>
      </w:r>
      <w:r>
        <w:instrText xml:space="preserve"> PAGEREF _Toc256000167 \h </w:instrText>
      </w:r>
      <w:r>
        <w:fldChar w:fldCharType="separate"/>
      </w:r>
      <w:r>
        <w:t>724</w:t>
      </w:r>
      <w:r>
        <w:fldChar w:fldCharType="end"/>
      </w:r>
      <w:r>
        <w:fldChar w:fldCharType="end"/>
      </w:r>
    </w:p>
    <w:p>
      <w:pPr>
        <w:pStyle w:val="TOC3"/>
        <w:rPr>
          <w:rFonts w:ascii="Calibri" w:hAnsi="Calibri"/>
          <w:noProof/>
          <w:sz w:val="22"/>
        </w:rPr>
      </w:pPr>
      <w:r>
        <w:fldChar w:fldCharType="begin"/>
      </w:r>
      <w:r>
        <w:instrText xml:space="preserve"> HYPERLINK \l "_Toc256000168" </w:instrText>
      </w:r>
      <w:r>
        <w:fldChar w:fldCharType="separate"/>
      </w:r>
      <w:r>
        <w:rPr>
          <w:rStyle w:val="Hyperlink"/>
        </w:rPr>
        <w:t>11.4.2.</w:t>
      </w:r>
      <w:r>
        <w:rPr>
          <w:rStyle w:val="Hyperlink"/>
        </w:rPr>
        <w:t xml:space="preserve"> </w:t>
      </w:r>
      <w:r>
        <w:rPr>
          <w:rStyle w:val="Hyperlink"/>
        </w:rPr>
        <w:t>Горски площи</w:t>
      </w:r>
      <w:r>
        <w:tab/>
      </w:r>
      <w:r>
        <w:fldChar w:fldCharType="begin"/>
      </w:r>
      <w:r>
        <w:instrText xml:space="preserve"> PAGEREF _Toc256000168 \h </w:instrText>
      </w:r>
      <w:r>
        <w:fldChar w:fldCharType="separate"/>
      </w:r>
      <w:r>
        <w:t>727</w:t>
      </w:r>
      <w:r>
        <w:fldChar w:fldCharType="end"/>
      </w:r>
      <w:r>
        <w:fldChar w:fldCharType="end"/>
      </w:r>
    </w:p>
    <w:p>
      <w:pPr>
        <w:pStyle w:val="TOC2"/>
        <w:rPr>
          <w:rFonts w:ascii="Calibri" w:hAnsi="Calibri"/>
          <w:noProof/>
          <w:sz w:val="22"/>
        </w:rPr>
      </w:pPr>
      <w:r>
        <w:fldChar w:fldCharType="begin"/>
      </w:r>
      <w:r>
        <w:instrText xml:space="preserve"> HYPERLINK \l "_Toc256000169" </w:instrText>
      </w:r>
      <w:r>
        <w:fldChar w:fldCharType="separate"/>
      </w:r>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_Toc256000169 \h </w:instrText>
      </w:r>
      <w:r>
        <w:fldChar w:fldCharType="separate"/>
      </w:r>
      <w:r>
        <w:t>728</w:t>
      </w:r>
      <w:r>
        <w:fldChar w:fldCharType="end"/>
      </w:r>
      <w:r>
        <w:fldChar w:fldCharType="end"/>
      </w:r>
    </w:p>
    <w:p>
      <w:pPr>
        <w:pStyle w:val="TOC1"/>
        <w:rPr>
          <w:rFonts w:ascii="Calibri" w:hAnsi="Calibri"/>
          <w:noProof/>
          <w:sz w:val="22"/>
        </w:rPr>
      </w:pPr>
      <w:r>
        <w:fldChar w:fldCharType="begin"/>
      </w:r>
      <w:r>
        <w:instrText xml:space="preserve"> HYPERLINK \l "_Toc256000170" </w:instrText>
      </w:r>
      <w:r>
        <w:fldChar w:fldCharType="separate"/>
      </w:r>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_Toc256000170 \h </w:instrText>
      </w:r>
      <w:r>
        <w:fldChar w:fldCharType="separate"/>
      </w:r>
      <w:r>
        <w:t>729</w:t>
      </w:r>
      <w:r>
        <w:fldChar w:fldCharType="end"/>
      </w:r>
      <w:r>
        <w:fldChar w:fldCharType="end"/>
      </w:r>
    </w:p>
    <w:p>
      <w:pPr>
        <w:pStyle w:val="TOC2"/>
        <w:rPr>
          <w:rFonts w:ascii="Calibri" w:hAnsi="Calibri"/>
          <w:noProof/>
          <w:sz w:val="22"/>
        </w:rPr>
      </w:pPr>
      <w:r>
        <w:fldChar w:fldCharType="begin"/>
      </w:r>
      <w:r>
        <w:instrText xml:space="preserve"> HYPERLINK \l "_Toc256000171" </w:instrText>
      </w:r>
      <w:r>
        <w:fldChar w:fldCharType="separate"/>
      </w:r>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_Toc256000171 \h </w:instrText>
      </w:r>
      <w:r>
        <w:fldChar w:fldCharType="separate"/>
      </w:r>
      <w:r>
        <w:t>729</w:t>
      </w:r>
      <w:r>
        <w:fldChar w:fldCharType="end"/>
      </w:r>
      <w:r>
        <w:fldChar w:fldCharType="end"/>
      </w:r>
    </w:p>
    <w:p>
      <w:pPr>
        <w:pStyle w:val="TOC2"/>
        <w:rPr>
          <w:rFonts w:ascii="Calibri" w:hAnsi="Calibri"/>
          <w:noProof/>
          <w:sz w:val="22"/>
        </w:rPr>
      </w:pPr>
      <w:r>
        <w:fldChar w:fldCharType="begin"/>
      </w:r>
      <w:r>
        <w:instrText xml:space="preserve"> HYPERLINK \l "_Toc256000172" </w:instrText>
      </w:r>
      <w:r>
        <w:fldChar w:fldCharType="separate"/>
      </w:r>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_Toc256000172 \h </w:instrText>
      </w:r>
      <w:r>
        <w:fldChar w:fldCharType="separate"/>
      </w:r>
      <w:r>
        <w:t>730</w:t>
      </w:r>
      <w:r>
        <w:fldChar w:fldCharType="end"/>
      </w:r>
      <w:r>
        <w:fldChar w:fldCharType="end"/>
      </w:r>
    </w:p>
    <w:p>
      <w:pPr>
        <w:pStyle w:val="TOC2"/>
        <w:rPr>
          <w:rFonts w:ascii="Calibri" w:hAnsi="Calibri"/>
          <w:noProof/>
          <w:sz w:val="22"/>
        </w:rPr>
      </w:pPr>
      <w:r>
        <w:fldChar w:fldCharType="begin"/>
      </w:r>
      <w:r>
        <w:instrText xml:space="preserve"> HYPERLINK \l "_Toc256000173" </w:instrText>
      </w:r>
      <w:r>
        <w:fldChar w:fldCharType="separate"/>
      </w:r>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_Toc256000173 \h </w:instrText>
      </w:r>
      <w:r>
        <w:fldChar w:fldCharType="separate"/>
      </w:r>
      <w:r>
        <w:t>730</w:t>
      </w:r>
      <w:r>
        <w:fldChar w:fldCharType="end"/>
      </w:r>
      <w:r>
        <w:fldChar w:fldCharType="end"/>
      </w:r>
    </w:p>
    <w:p>
      <w:pPr>
        <w:pStyle w:val="TOC2"/>
        <w:rPr>
          <w:rFonts w:ascii="Calibri" w:hAnsi="Calibri"/>
          <w:noProof/>
          <w:sz w:val="22"/>
        </w:rPr>
      </w:pPr>
      <w:r>
        <w:fldChar w:fldCharType="begin"/>
      </w:r>
      <w:r>
        <w:instrText xml:space="preserve"> HYPERLINK \l "_Toc256000174" </w:instrText>
      </w:r>
      <w:r>
        <w:fldChar w:fldCharType="separate"/>
      </w:r>
      <w:r>
        <w:rPr>
          <w:rStyle w:val="Hyperlink"/>
        </w:rPr>
        <w:t>12.4.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_Toc256000174 \h </w:instrText>
      </w:r>
      <w:r>
        <w:fldChar w:fldCharType="separate"/>
      </w:r>
      <w:r>
        <w:t>730</w:t>
      </w:r>
      <w:r>
        <w:fldChar w:fldCharType="end"/>
      </w:r>
      <w:r>
        <w:fldChar w:fldCharType="end"/>
      </w:r>
    </w:p>
    <w:p>
      <w:pPr>
        <w:pStyle w:val="TOC2"/>
        <w:rPr>
          <w:rFonts w:ascii="Calibri" w:hAnsi="Calibri"/>
          <w:noProof/>
          <w:sz w:val="22"/>
        </w:rPr>
      </w:pPr>
      <w:r>
        <w:fldChar w:fldCharType="begin"/>
      </w:r>
      <w:r>
        <w:instrText xml:space="preserve"> HYPERLINK \l "_Toc256000175" </w:instrText>
      </w:r>
      <w:r>
        <w:fldChar w:fldCharType="separate"/>
      </w:r>
      <w:r>
        <w:rPr>
          <w:rStyle w:val="Hyperlink"/>
        </w:rPr>
        <w:t>12.5.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_Toc256000175 \h </w:instrText>
      </w:r>
      <w:r>
        <w:fldChar w:fldCharType="separate"/>
      </w:r>
      <w:r>
        <w:t>730</w:t>
      </w:r>
      <w:r>
        <w:fldChar w:fldCharType="end"/>
      </w:r>
      <w:r>
        <w:fldChar w:fldCharType="end"/>
      </w:r>
    </w:p>
    <w:p>
      <w:pPr>
        <w:pStyle w:val="TOC2"/>
        <w:rPr>
          <w:rFonts w:ascii="Calibri" w:hAnsi="Calibri"/>
          <w:noProof/>
          <w:sz w:val="22"/>
        </w:rPr>
      </w:pPr>
      <w:r>
        <w:fldChar w:fldCharType="begin"/>
      </w:r>
      <w:r>
        <w:instrText xml:space="preserve"> HYPERLINK \l "_Toc256000176" </w:instrText>
      </w:r>
      <w:r>
        <w:fldChar w:fldCharType="separate"/>
      </w:r>
      <w:r>
        <w:rPr>
          <w:rStyle w:val="Hyperlink"/>
        </w:rPr>
        <w:t>12.6.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_Toc256000176 \h </w:instrText>
      </w:r>
      <w:r>
        <w:fldChar w:fldCharType="separate"/>
      </w:r>
      <w:r>
        <w:t>730</w:t>
      </w:r>
      <w:r>
        <w:fldChar w:fldCharType="end"/>
      </w:r>
      <w:r>
        <w:fldChar w:fldCharType="end"/>
      </w:r>
    </w:p>
    <w:p>
      <w:pPr>
        <w:pStyle w:val="TOC2"/>
        <w:rPr>
          <w:rFonts w:ascii="Calibri" w:hAnsi="Calibri"/>
          <w:noProof/>
          <w:sz w:val="22"/>
        </w:rPr>
      </w:pPr>
      <w:r>
        <w:fldChar w:fldCharType="begin"/>
      </w:r>
      <w:r>
        <w:instrText xml:space="preserve"> HYPERLINK \l "_Toc256000177" </w:instrText>
      </w:r>
      <w:r>
        <w:fldChar w:fldCharType="separate"/>
      </w:r>
      <w:r>
        <w:rPr>
          <w:rStyle w:val="Hyperlink"/>
        </w:rPr>
        <w:t>12.7.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_Toc256000177 \h </w:instrText>
      </w:r>
      <w:r>
        <w:fldChar w:fldCharType="separate"/>
      </w:r>
      <w:r>
        <w:t>731</w:t>
      </w:r>
      <w:r>
        <w:fldChar w:fldCharType="end"/>
      </w:r>
      <w:r>
        <w:fldChar w:fldCharType="end"/>
      </w:r>
    </w:p>
    <w:p>
      <w:pPr>
        <w:pStyle w:val="TOC2"/>
        <w:rPr>
          <w:rFonts w:ascii="Calibri" w:hAnsi="Calibri"/>
          <w:noProof/>
          <w:sz w:val="22"/>
        </w:rPr>
      </w:pPr>
      <w:r>
        <w:fldChar w:fldCharType="begin"/>
      </w:r>
      <w:r>
        <w:instrText xml:space="preserve"> HYPERLINK \l "_Toc256000178" </w:instrText>
      </w:r>
      <w:r>
        <w:fldChar w:fldCharType="separate"/>
      </w:r>
      <w:r>
        <w:rPr>
          <w:rStyle w:val="Hyperlink"/>
        </w:rPr>
        <w:t>12.8.</w:t>
      </w:r>
      <w:r>
        <w:rPr>
          <w:rStyle w:val="Hyperlink"/>
        </w:rPr>
        <w:t xml:space="preserve"> </w:t>
      </w:r>
      <w:r>
        <w:rPr>
          <w:rStyle w:val="Hyperlink"/>
        </w:rPr>
        <w:t>M10 — Агроекология и климат (член 28)</w:t>
      </w:r>
      <w:r>
        <w:tab/>
      </w:r>
      <w:r>
        <w:fldChar w:fldCharType="begin"/>
      </w:r>
      <w:r>
        <w:instrText xml:space="preserve"> PAGEREF _Toc256000178 \h </w:instrText>
      </w:r>
      <w:r>
        <w:fldChar w:fldCharType="separate"/>
      </w:r>
      <w:r>
        <w:t>731</w:t>
      </w:r>
      <w:r>
        <w:fldChar w:fldCharType="end"/>
      </w:r>
      <w:r>
        <w:fldChar w:fldCharType="end"/>
      </w:r>
    </w:p>
    <w:p>
      <w:pPr>
        <w:pStyle w:val="TOC2"/>
        <w:rPr>
          <w:rFonts w:ascii="Calibri" w:hAnsi="Calibri"/>
          <w:noProof/>
          <w:sz w:val="22"/>
        </w:rPr>
      </w:pPr>
      <w:r>
        <w:fldChar w:fldCharType="begin"/>
      </w:r>
      <w:r>
        <w:instrText xml:space="preserve"> HYPERLINK \l "_Toc256000179" </w:instrText>
      </w:r>
      <w:r>
        <w:fldChar w:fldCharType="separate"/>
      </w:r>
      <w:r>
        <w:rPr>
          <w:rStyle w:val="Hyperlink"/>
        </w:rPr>
        <w:t>12.9.</w:t>
      </w:r>
      <w:r>
        <w:rPr>
          <w:rStyle w:val="Hyperlink"/>
        </w:rPr>
        <w:t xml:space="preserve"> </w:t>
      </w:r>
      <w:r>
        <w:rPr>
          <w:rStyle w:val="Hyperlink"/>
        </w:rPr>
        <w:t>М11 — Биологично земеделие (член 29)</w:t>
      </w:r>
      <w:r>
        <w:tab/>
      </w:r>
      <w:r>
        <w:fldChar w:fldCharType="begin"/>
      </w:r>
      <w:r>
        <w:instrText xml:space="preserve"> PAGEREF _Toc256000179 \h </w:instrText>
      </w:r>
      <w:r>
        <w:fldChar w:fldCharType="separate"/>
      </w:r>
      <w:r>
        <w:t>731</w:t>
      </w:r>
      <w:r>
        <w:fldChar w:fldCharType="end"/>
      </w:r>
      <w:r>
        <w:fldChar w:fldCharType="end"/>
      </w:r>
    </w:p>
    <w:p>
      <w:pPr>
        <w:pStyle w:val="TOC2"/>
        <w:rPr>
          <w:rFonts w:ascii="Calibri" w:hAnsi="Calibri"/>
          <w:noProof/>
          <w:sz w:val="22"/>
        </w:rPr>
      </w:pPr>
      <w:r>
        <w:fldChar w:fldCharType="begin"/>
      </w:r>
      <w:r>
        <w:instrText xml:space="preserve"> HYPERLINK \l "_Toc256000180" </w:instrText>
      </w:r>
      <w:r>
        <w:fldChar w:fldCharType="separate"/>
      </w:r>
      <w:r>
        <w:rPr>
          <w:rStyle w:val="Hyperlink"/>
        </w:rPr>
        <w:t>12.10.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_Toc256000180 \h </w:instrText>
      </w:r>
      <w:r>
        <w:fldChar w:fldCharType="separate"/>
      </w:r>
      <w:r>
        <w:t>731</w:t>
      </w:r>
      <w:r>
        <w:fldChar w:fldCharType="end"/>
      </w:r>
      <w:r>
        <w:fldChar w:fldCharType="end"/>
      </w:r>
    </w:p>
    <w:p>
      <w:pPr>
        <w:pStyle w:val="TOC2"/>
        <w:rPr>
          <w:rFonts w:ascii="Calibri" w:hAnsi="Calibri"/>
          <w:noProof/>
          <w:sz w:val="22"/>
        </w:rPr>
      </w:pPr>
      <w:r>
        <w:fldChar w:fldCharType="begin"/>
      </w:r>
      <w:r>
        <w:instrText xml:space="preserve"> HYPERLINK \l "_Toc256000181" </w:instrText>
      </w:r>
      <w:r>
        <w:fldChar w:fldCharType="separate"/>
      </w:r>
      <w:r>
        <w:rPr>
          <w:rStyle w:val="Hyperlink"/>
        </w:rPr>
        <w:t>12.11.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_Toc256000181 \h </w:instrText>
      </w:r>
      <w:r>
        <w:fldChar w:fldCharType="separate"/>
      </w:r>
      <w:r>
        <w:t>732</w:t>
      </w:r>
      <w:r>
        <w:fldChar w:fldCharType="end"/>
      </w:r>
      <w:r>
        <w:fldChar w:fldCharType="end"/>
      </w:r>
    </w:p>
    <w:p>
      <w:pPr>
        <w:pStyle w:val="TOC2"/>
        <w:rPr>
          <w:rFonts w:ascii="Calibri" w:hAnsi="Calibri"/>
          <w:noProof/>
          <w:sz w:val="22"/>
        </w:rPr>
      </w:pPr>
      <w:r>
        <w:fldChar w:fldCharType="begin"/>
      </w:r>
      <w:r>
        <w:instrText xml:space="preserve"> HYPERLINK \l "_Toc256000182" </w:instrText>
      </w:r>
      <w:r>
        <w:fldChar w:fldCharType="separate"/>
      </w:r>
      <w:r>
        <w:rPr>
          <w:rStyle w:val="Hyperlink"/>
        </w:rPr>
        <w:t>12.12.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_Toc256000182 \h </w:instrText>
      </w:r>
      <w:r>
        <w:fldChar w:fldCharType="separate"/>
      </w:r>
      <w:r>
        <w:t>732</w:t>
      </w:r>
      <w:r>
        <w:fldChar w:fldCharType="end"/>
      </w:r>
      <w:r>
        <w:fldChar w:fldCharType="end"/>
      </w:r>
    </w:p>
    <w:p>
      <w:pPr>
        <w:pStyle w:val="TOC2"/>
        <w:rPr>
          <w:rFonts w:ascii="Calibri" w:hAnsi="Calibri"/>
          <w:noProof/>
          <w:sz w:val="22"/>
        </w:rPr>
      </w:pPr>
      <w:r>
        <w:fldChar w:fldCharType="begin"/>
      </w:r>
      <w:r>
        <w:instrText xml:space="preserve"> HYPERLINK \l "_Toc256000183" </w:instrText>
      </w:r>
      <w:r>
        <w:fldChar w:fldCharType="separate"/>
      </w:r>
      <w:r>
        <w:rPr>
          <w:rStyle w:val="Hyperlink"/>
        </w:rPr>
        <w:t>12.13.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_Toc256000183 \h </w:instrText>
      </w:r>
      <w:r>
        <w:fldChar w:fldCharType="separate"/>
      </w:r>
      <w:r>
        <w:t>732</w:t>
      </w:r>
      <w:r>
        <w:fldChar w:fldCharType="end"/>
      </w:r>
      <w:r>
        <w:fldChar w:fldCharType="end"/>
      </w:r>
    </w:p>
    <w:p>
      <w:pPr>
        <w:pStyle w:val="TOC2"/>
        <w:rPr>
          <w:rFonts w:ascii="Calibri" w:hAnsi="Calibri"/>
          <w:noProof/>
          <w:sz w:val="22"/>
        </w:rPr>
      </w:pPr>
      <w:r>
        <w:fldChar w:fldCharType="begin"/>
      </w:r>
      <w:r>
        <w:instrText xml:space="preserve"> HYPERLINK \l "_Toc256000184" </w:instrText>
      </w:r>
      <w:r>
        <w:fldChar w:fldCharType="separate"/>
      </w:r>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_Toc256000184 \h </w:instrText>
      </w:r>
      <w:r>
        <w:fldChar w:fldCharType="separate"/>
      </w:r>
      <w:r>
        <w:t>732</w:t>
      </w:r>
      <w:r>
        <w:fldChar w:fldCharType="end"/>
      </w:r>
      <w:r>
        <w:fldChar w:fldCharType="end"/>
      </w:r>
    </w:p>
    <w:p>
      <w:pPr>
        <w:pStyle w:val="TOC2"/>
        <w:rPr>
          <w:rFonts w:ascii="Calibri" w:hAnsi="Calibri"/>
          <w:noProof/>
          <w:sz w:val="22"/>
        </w:rPr>
      </w:pPr>
      <w:r>
        <w:fldChar w:fldCharType="begin"/>
      </w:r>
      <w:r>
        <w:instrText xml:space="preserve"> HYPERLINK \l "_Toc256000185" </w:instrText>
      </w:r>
      <w:r>
        <w:fldChar w:fldCharType="separate"/>
      </w:r>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_Toc256000185 \h </w:instrText>
      </w:r>
      <w:r>
        <w:fldChar w:fldCharType="separate"/>
      </w:r>
      <w:r>
        <w:t>732</w:t>
      </w:r>
      <w:r>
        <w:fldChar w:fldCharType="end"/>
      </w:r>
      <w:r>
        <w:fldChar w:fldCharType="end"/>
      </w:r>
    </w:p>
    <w:p>
      <w:pPr>
        <w:pStyle w:val="TOC2"/>
        <w:rPr>
          <w:rFonts w:ascii="Calibri" w:hAnsi="Calibri"/>
          <w:noProof/>
          <w:sz w:val="22"/>
        </w:rPr>
      </w:pPr>
      <w:r>
        <w:fldChar w:fldCharType="begin"/>
      </w:r>
      <w:r>
        <w:instrText xml:space="preserve"> HYPERLINK \l "_Toc256000186" </w:instrText>
      </w:r>
      <w:r>
        <w:fldChar w:fldCharType="separate"/>
      </w:r>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_Toc256000186 \h </w:instrText>
      </w:r>
      <w:r>
        <w:fldChar w:fldCharType="separate"/>
      </w:r>
      <w:r>
        <w:t>733</w:t>
      </w:r>
      <w:r>
        <w:fldChar w:fldCharType="end"/>
      </w:r>
      <w:r>
        <w:fldChar w:fldCharType="end"/>
      </w:r>
    </w:p>
    <w:p>
      <w:pPr>
        <w:pStyle w:val="TOC1"/>
        <w:rPr>
          <w:rFonts w:ascii="Calibri" w:hAnsi="Calibri"/>
          <w:noProof/>
          <w:sz w:val="22"/>
        </w:rPr>
      </w:pPr>
      <w:r>
        <w:fldChar w:fldCharType="begin"/>
      </w:r>
      <w:r>
        <w:instrText xml:space="preserve"> HYPERLINK \l "_Toc256000187" </w:instrText>
      </w:r>
      <w:r>
        <w:fldChar w:fldCharType="separate"/>
      </w:r>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_Toc256000187 \h </w:instrText>
      </w:r>
      <w:r>
        <w:fldChar w:fldCharType="separate"/>
      </w:r>
      <w:r>
        <w:t>734</w:t>
      </w:r>
      <w:r>
        <w:fldChar w:fldCharType="end"/>
      </w:r>
      <w:r>
        <w:fldChar w:fldCharType="end"/>
      </w:r>
    </w:p>
    <w:p>
      <w:pPr>
        <w:pStyle w:val="TOC2"/>
        <w:rPr>
          <w:rFonts w:ascii="Calibri" w:hAnsi="Calibri"/>
          <w:noProof/>
          <w:sz w:val="22"/>
        </w:rPr>
      </w:pPr>
      <w:r>
        <w:fldChar w:fldCharType="begin"/>
      </w:r>
      <w:r>
        <w:instrText xml:space="preserve"> HYPERLINK \l "_Toc256000188" </w:instrText>
      </w:r>
      <w:r>
        <w:fldChar w:fldCharType="separate"/>
      </w:r>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_Toc256000188 \h </w:instrText>
      </w:r>
      <w:r>
        <w:fldChar w:fldCharType="separate"/>
      </w:r>
      <w:r>
        <w:t>737</w:t>
      </w:r>
      <w:r>
        <w:fldChar w:fldCharType="end"/>
      </w:r>
      <w:r>
        <w:fldChar w:fldCharType="end"/>
      </w:r>
    </w:p>
    <w:p>
      <w:pPr>
        <w:pStyle w:val="TOC2"/>
        <w:rPr>
          <w:rFonts w:ascii="Calibri" w:hAnsi="Calibri"/>
          <w:noProof/>
          <w:sz w:val="22"/>
        </w:rPr>
      </w:pPr>
      <w:r>
        <w:fldChar w:fldCharType="begin"/>
      </w:r>
      <w:r>
        <w:instrText xml:space="preserve"> HYPERLINK \l "_Toc256000189" </w:instrText>
      </w:r>
      <w:r>
        <w:fldChar w:fldCharType="separate"/>
      </w:r>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_Toc256000189 \h </w:instrText>
      </w:r>
      <w:r>
        <w:fldChar w:fldCharType="separate"/>
      </w:r>
      <w:r>
        <w:t>737</w:t>
      </w:r>
      <w:r>
        <w:fldChar w:fldCharType="end"/>
      </w:r>
      <w:r>
        <w:fldChar w:fldCharType="end"/>
      </w:r>
    </w:p>
    <w:p>
      <w:pPr>
        <w:pStyle w:val="TOC2"/>
        <w:rPr>
          <w:rFonts w:ascii="Calibri" w:hAnsi="Calibri"/>
          <w:noProof/>
          <w:sz w:val="22"/>
        </w:rPr>
      </w:pPr>
      <w:r>
        <w:fldChar w:fldCharType="begin"/>
      </w:r>
      <w:r>
        <w:instrText xml:space="preserve"> HYPERLINK \l "_Toc256000190" </w:instrText>
      </w:r>
      <w:r>
        <w:fldChar w:fldCharType="separate"/>
      </w:r>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_Toc256000190 \h </w:instrText>
      </w:r>
      <w:r>
        <w:fldChar w:fldCharType="separate"/>
      </w:r>
      <w:r>
        <w:t>738</w:t>
      </w:r>
      <w:r>
        <w:fldChar w:fldCharType="end"/>
      </w:r>
      <w:r>
        <w:fldChar w:fldCharType="end"/>
      </w:r>
    </w:p>
    <w:p>
      <w:pPr>
        <w:pStyle w:val="TOC2"/>
        <w:rPr>
          <w:rFonts w:ascii="Calibri" w:hAnsi="Calibri"/>
          <w:noProof/>
          <w:sz w:val="22"/>
        </w:rPr>
      </w:pPr>
      <w:r>
        <w:fldChar w:fldCharType="begin"/>
      </w:r>
      <w:r>
        <w:instrText xml:space="preserve"> HYPERLINK \l "_Toc256000191" </w:instrText>
      </w:r>
      <w:r>
        <w:fldChar w:fldCharType="separate"/>
      </w:r>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_Toc256000191 \h </w:instrText>
      </w:r>
      <w:r>
        <w:fldChar w:fldCharType="separate"/>
      </w:r>
      <w:r>
        <w:t>738</w:t>
      </w:r>
      <w:r>
        <w:fldChar w:fldCharType="end"/>
      </w:r>
      <w:r>
        <w:fldChar w:fldCharType="end"/>
      </w:r>
    </w:p>
    <w:p>
      <w:pPr>
        <w:pStyle w:val="TOC2"/>
        <w:rPr>
          <w:rFonts w:ascii="Calibri" w:hAnsi="Calibri"/>
          <w:noProof/>
          <w:sz w:val="22"/>
        </w:rPr>
      </w:pPr>
      <w:r>
        <w:fldChar w:fldCharType="begin"/>
      </w:r>
      <w:r>
        <w:instrText xml:space="preserve"> HYPERLINK \l "_Toc256000192" </w:instrText>
      </w:r>
      <w:r>
        <w:fldChar w:fldCharType="separate"/>
      </w:r>
      <w:r>
        <w:rPr>
          <w:rStyle w:val="Hyperlink"/>
        </w:rPr>
        <w:t>13.5.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_Toc256000192 \h </w:instrText>
      </w:r>
      <w:r>
        <w:fldChar w:fldCharType="separate"/>
      </w:r>
      <w:r>
        <w:t>739</w:t>
      </w:r>
      <w:r>
        <w:fldChar w:fldCharType="end"/>
      </w:r>
      <w:r>
        <w:fldChar w:fldCharType="end"/>
      </w:r>
    </w:p>
    <w:p>
      <w:pPr>
        <w:pStyle w:val="TOC2"/>
        <w:rPr>
          <w:rFonts w:ascii="Calibri" w:hAnsi="Calibri"/>
          <w:noProof/>
          <w:sz w:val="22"/>
        </w:rPr>
      </w:pPr>
      <w:r>
        <w:fldChar w:fldCharType="begin"/>
      </w:r>
      <w:r>
        <w:instrText xml:space="preserve"> HYPERLINK \l "_Toc256000193" </w:instrText>
      </w:r>
      <w:r>
        <w:fldChar w:fldCharType="separate"/>
      </w:r>
      <w:r>
        <w:rPr>
          <w:rStyle w:val="Hyperlink"/>
        </w:rPr>
        <w:t>13.6.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_Toc256000193 \h </w:instrText>
      </w:r>
      <w:r>
        <w:fldChar w:fldCharType="separate"/>
      </w:r>
      <w:r>
        <w:t>739</w:t>
      </w:r>
      <w:r>
        <w:fldChar w:fldCharType="end"/>
      </w:r>
      <w:r>
        <w:fldChar w:fldCharType="end"/>
      </w:r>
    </w:p>
    <w:p>
      <w:pPr>
        <w:pStyle w:val="TOC2"/>
        <w:rPr>
          <w:rFonts w:ascii="Calibri" w:hAnsi="Calibri"/>
          <w:noProof/>
          <w:sz w:val="22"/>
        </w:rPr>
      </w:pPr>
      <w:r>
        <w:fldChar w:fldCharType="begin"/>
      </w:r>
      <w:r>
        <w:instrText xml:space="preserve"> HYPERLINK \l "_Toc256000194" </w:instrText>
      </w:r>
      <w:r>
        <w:fldChar w:fldCharType="separate"/>
      </w:r>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_Toc256000194 \h </w:instrText>
      </w:r>
      <w:r>
        <w:fldChar w:fldCharType="separate"/>
      </w:r>
      <w:r>
        <w:t>740</w:t>
      </w:r>
      <w:r>
        <w:fldChar w:fldCharType="end"/>
      </w:r>
      <w:r>
        <w:fldChar w:fldCharType="end"/>
      </w:r>
    </w:p>
    <w:p>
      <w:pPr>
        <w:pStyle w:val="TOC2"/>
        <w:rPr>
          <w:rFonts w:ascii="Calibri" w:hAnsi="Calibri"/>
          <w:noProof/>
          <w:sz w:val="22"/>
        </w:rPr>
      </w:pPr>
      <w:r>
        <w:fldChar w:fldCharType="begin"/>
      </w:r>
      <w:r>
        <w:instrText xml:space="preserve"> HYPERLINK \l "_Toc256000195" </w:instrText>
      </w:r>
      <w:r>
        <w:fldChar w:fldCharType="separate"/>
      </w:r>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_Toc256000195 \h </w:instrText>
      </w:r>
      <w:r>
        <w:fldChar w:fldCharType="separate"/>
      </w:r>
      <w:r>
        <w:t>740</w:t>
      </w:r>
      <w:r>
        <w:fldChar w:fldCharType="end"/>
      </w:r>
      <w:r>
        <w:fldChar w:fldCharType="end"/>
      </w:r>
    </w:p>
    <w:p>
      <w:pPr>
        <w:pStyle w:val="TOC2"/>
        <w:rPr>
          <w:rFonts w:ascii="Calibri" w:hAnsi="Calibri"/>
          <w:noProof/>
          <w:sz w:val="22"/>
        </w:rPr>
      </w:pPr>
      <w:r>
        <w:fldChar w:fldCharType="begin"/>
      </w:r>
      <w:r>
        <w:instrText xml:space="preserve"> HYPERLINK \l "_Toc256000196" </w:instrText>
      </w:r>
      <w:r>
        <w:fldChar w:fldCharType="separate"/>
      </w:r>
      <w:r>
        <w:rPr>
          <w:rStyle w:val="Hyperlink"/>
        </w:rPr>
        <w:t>13.9.</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_Toc256000196 \h </w:instrText>
      </w:r>
      <w:r>
        <w:fldChar w:fldCharType="separate"/>
      </w:r>
      <w:r>
        <w:t>741</w:t>
      </w:r>
      <w:r>
        <w:fldChar w:fldCharType="end"/>
      </w:r>
      <w:r>
        <w:fldChar w:fldCharType="end"/>
      </w:r>
    </w:p>
    <w:p>
      <w:pPr>
        <w:pStyle w:val="TOC2"/>
        <w:rPr>
          <w:rFonts w:ascii="Calibri" w:hAnsi="Calibri"/>
          <w:noProof/>
          <w:sz w:val="22"/>
        </w:rPr>
      </w:pPr>
      <w:r>
        <w:fldChar w:fldCharType="begin"/>
      </w:r>
      <w:r>
        <w:instrText xml:space="preserve"> HYPERLINK \l "_Toc256000197" </w:instrText>
      </w:r>
      <w:r>
        <w:fldChar w:fldCharType="separate"/>
      </w:r>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_Toc256000197 \h </w:instrText>
      </w:r>
      <w:r>
        <w:fldChar w:fldCharType="separate"/>
      </w:r>
      <w:r>
        <w:t>741</w:t>
      </w:r>
      <w:r>
        <w:fldChar w:fldCharType="end"/>
      </w:r>
      <w:r>
        <w:fldChar w:fldCharType="end"/>
      </w:r>
    </w:p>
    <w:p>
      <w:pPr>
        <w:pStyle w:val="TOC2"/>
        <w:rPr>
          <w:rFonts w:ascii="Calibri" w:hAnsi="Calibri"/>
          <w:noProof/>
          <w:sz w:val="22"/>
        </w:rPr>
      </w:pPr>
      <w:r>
        <w:fldChar w:fldCharType="begin"/>
      </w:r>
      <w:r>
        <w:instrText xml:space="preserve"> HYPERLINK \l "_Toc256000198" </w:instrText>
      </w:r>
      <w:r>
        <w:fldChar w:fldCharType="separate"/>
      </w:r>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_Toc256000198 \h </w:instrText>
      </w:r>
      <w:r>
        <w:fldChar w:fldCharType="separate"/>
      </w:r>
      <w:r>
        <w:t>742</w:t>
      </w:r>
      <w:r>
        <w:fldChar w:fldCharType="end"/>
      </w:r>
      <w:r>
        <w:fldChar w:fldCharType="end"/>
      </w:r>
    </w:p>
    <w:p>
      <w:pPr>
        <w:pStyle w:val="TOC2"/>
        <w:rPr>
          <w:rFonts w:ascii="Calibri" w:hAnsi="Calibri"/>
          <w:noProof/>
          <w:sz w:val="22"/>
        </w:rPr>
      </w:pPr>
      <w:r>
        <w:fldChar w:fldCharType="begin"/>
      </w:r>
      <w:r>
        <w:instrText xml:space="preserve"> HYPERLINK \l "_Toc256000199" </w:instrText>
      </w:r>
      <w:r>
        <w:fldChar w:fldCharType="separate"/>
      </w:r>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_Toc256000199 \h </w:instrText>
      </w:r>
      <w:r>
        <w:fldChar w:fldCharType="separate"/>
      </w:r>
      <w:r>
        <w:t>742</w:t>
      </w:r>
      <w:r>
        <w:fldChar w:fldCharType="end"/>
      </w:r>
      <w:r>
        <w:fldChar w:fldCharType="end"/>
      </w:r>
    </w:p>
    <w:p>
      <w:pPr>
        <w:pStyle w:val="TOC2"/>
        <w:rPr>
          <w:rFonts w:ascii="Calibri" w:hAnsi="Calibri"/>
          <w:noProof/>
          <w:sz w:val="22"/>
        </w:rPr>
      </w:pPr>
      <w:r>
        <w:fldChar w:fldCharType="begin"/>
      </w:r>
      <w:r>
        <w:instrText xml:space="preserve"> HYPERLINK \l "_Toc256000200" </w:instrText>
      </w:r>
      <w:r>
        <w:fldChar w:fldCharType="separate"/>
      </w:r>
      <w:r>
        <w:rPr>
          <w:rStyle w:val="Hyperlink"/>
        </w:rPr>
        <w:t>13.13.</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_Toc256000200 \h </w:instrText>
      </w:r>
      <w:r>
        <w:fldChar w:fldCharType="separate"/>
      </w:r>
      <w:r>
        <w:t>743</w:t>
      </w:r>
      <w:r>
        <w:fldChar w:fldCharType="end"/>
      </w:r>
      <w:r>
        <w:fldChar w:fldCharType="end"/>
      </w:r>
    </w:p>
    <w:p>
      <w:pPr>
        <w:pStyle w:val="TOC2"/>
        <w:rPr>
          <w:rFonts w:ascii="Calibri" w:hAnsi="Calibri"/>
          <w:noProof/>
          <w:sz w:val="22"/>
        </w:rPr>
      </w:pPr>
      <w:r>
        <w:fldChar w:fldCharType="begin"/>
      </w:r>
      <w:r>
        <w:instrText xml:space="preserve"> HYPERLINK \l "_Toc256000201" </w:instrText>
      </w:r>
      <w:r>
        <w:fldChar w:fldCharType="separate"/>
      </w:r>
      <w:r>
        <w:rPr>
          <w:rStyle w:val="Hyperlink"/>
        </w:rPr>
        <w:t>13.14.</w:t>
      </w:r>
      <w:r>
        <w:rPr>
          <w:rStyle w:val="Hyperlink"/>
        </w:rPr>
        <w:t xml:space="preserve"> </w:t>
      </w:r>
      <w:r>
        <w:rPr>
          <w:rStyle w:val="Hyperlink"/>
        </w:rPr>
        <w:t>M10 — Агроекология и климат (член 28)</w:t>
      </w:r>
      <w:r>
        <w:tab/>
      </w:r>
      <w:r>
        <w:fldChar w:fldCharType="begin"/>
      </w:r>
      <w:r>
        <w:instrText xml:space="preserve"> PAGEREF _Toc256000201 \h </w:instrText>
      </w:r>
      <w:r>
        <w:fldChar w:fldCharType="separate"/>
      </w:r>
      <w:r>
        <w:t>743</w:t>
      </w:r>
      <w:r>
        <w:fldChar w:fldCharType="end"/>
      </w:r>
      <w:r>
        <w:fldChar w:fldCharType="end"/>
      </w:r>
    </w:p>
    <w:p>
      <w:pPr>
        <w:pStyle w:val="TOC2"/>
        <w:rPr>
          <w:rFonts w:ascii="Calibri" w:hAnsi="Calibri"/>
          <w:noProof/>
          <w:sz w:val="22"/>
        </w:rPr>
      </w:pPr>
      <w:r>
        <w:fldChar w:fldCharType="begin"/>
      </w:r>
      <w:r>
        <w:instrText xml:space="preserve"> HYPERLINK \l "_Toc256000202" </w:instrText>
      </w:r>
      <w:r>
        <w:fldChar w:fldCharType="separate"/>
      </w:r>
      <w:r>
        <w:rPr>
          <w:rStyle w:val="Hyperlink"/>
        </w:rPr>
        <w:t>13.15.</w:t>
      </w:r>
      <w:r>
        <w:rPr>
          <w:rStyle w:val="Hyperlink"/>
        </w:rPr>
        <w:t xml:space="preserve"> </w:t>
      </w:r>
      <w:r>
        <w:rPr>
          <w:rStyle w:val="Hyperlink"/>
        </w:rPr>
        <w:t>М11 — Биологично земеделие (член 29)</w:t>
      </w:r>
      <w:r>
        <w:tab/>
      </w:r>
      <w:r>
        <w:fldChar w:fldCharType="begin"/>
      </w:r>
      <w:r>
        <w:instrText xml:space="preserve"> PAGEREF _Toc256000202 \h </w:instrText>
      </w:r>
      <w:r>
        <w:fldChar w:fldCharType="separate"/>
      </w:r>
      <w:r>
        <w:t>744</w:t>
      </w:r>
      <w:r>
        <w:fldChar w:fldCharType="end"/>
      </w:r>
      <w:r>
        <w:fldChar w:fldCharType="end"/>
      </w:r>
    </w:p>
    <w:p>
      <w:pPr>
        <w:pStyle w:val="TOC2"/>
        <w:rPr>
          <w:rFonts w:ascii="Calibri" w:hAnsi="Calibri"/>
          <w:noProof/>
          <w:sz w:val="22"/>
        </w:rPr>
      </w:pPr>
      <w:r>
        <w:fldChar w:fldCharType="begin"/>
      </w:r>
      <w:r>
        <w:instrText xml:space="preserve"> HYPERLINK \l "_Toc256000203" </w:instrText>
      </w:r>
      <w:r>
        <w:fldChar w:fldCharType="separate"/>
      </w:r>
      <w:r>
        <w:rPr>
          <w:rStyle w:val="Hyperlink"/>
        </w:rPr>
        <w:t>13.16.</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_Toc256000203 \h </w:instrText>
      </w:r>
      <w:r>
        <w:fldChar w:fldCharType="separate"/>
      </w:r>
      <w:r>
        <w:t>744</w:t>
      </w:r>
      <w:r>
        <w:fldChar w:fldCharType="end"/>
      </w:r>
      <w:r>
        <w:fldChar w:fldCharType="end"/>
      </w:r>
    </w:p>
    <w:p>
      <w:pPr>
        <w:pStyle w:val="TOC2"/>
        <w:rPr>
          <w:rFonts w:ascii="Calibri" w:hAnsi="Calibri"/>
          <w:noProof/>
          <w:sz w:val="22"/>
        </w:rPr>
      </w:pPr>
      <w:r>
        <w:fldChar w:fldCharType="begin"/>
      </w:r>
      <w:r>
        <w:instrText xml:space="preserve"> HYPERLINK \l "_Toc256000204" </w:instrText>
      </w:r>
      <w:r>
        <w:fldChar w:fldCharType="separate"/>
      </w:r>
      <w:r>
        <w:rPr>
          <w:rStyle w:val="Hyperlink"/>
        </w:rPr>
        <w:t>13.17.</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_Toc256000204 \h </w:instrText>
      </w:r>
      <w:r>
        <w:fldChar w:fldCharType="separate"/>
      </w:r>
      <w:r>
        <w:t>745</w:t>
      </w:r>
      <w:r>
        <w:fldChar w:fldCharType="end"/>
      </w:r>
      <w:r>
        <w:fldChar w:fldCharType="end"/>
      </w:r>
    </w:p>
    <w:p>
      <w:pPr>
        <w:pStyle w:val="TOC2"/>
        <w:rPr>
          <w:rFonts w:ascii="Calibri" w:hAnsi="Calibri"/>
          <w:noProof/>
          <w:sz w:val="22"/>
        </w:rPr>
      </w:pPr>
      <w:r>
        <w:fldChar w:fldCharType="begin"/>
      </w:r>
      <w:r>
        <w:instrText xml:space="preserve"> HYPERLINK \l "_Toc256000205" </w:instrText>
      </w:r>
      <w:r>
        <w:fldChar w:fldCharType="separate"/>
      </w:r>
      <w:r>
        <w:rPr>
          <w:rStyle w:val="Hyperlink"/>
        </w:rPr>
        <w:t>13.18.</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_Toc256000205 \h </w:instrText>
      </w:r>
      <w:r>
        <w:fldChar w:fldCharType="separate"/>
      </w:r>
      <w:r>
        <w:t>745</w:t>
      </w:r>
      <w:r>
        <w:fldChar w:fldCharType="end"/>
      </w:r>
      <w:r>
        <w:fldChar w:fldCharType="end"/>
      </w:r>
    </w:p>
    <w:p>
      <w:pPr>
        <w:pStyle w:val="TOC2"/>
        <w:rPr>
          <w:rFonts w:ascii="Calibri" w:hAnsi="Calibri"/>
          <w:noProof/>
          <w:sz w:val="22"/>
        </w:rPr>
      </w:pPr>
      <w:r>
        <w:fldChar w:fldCharType="begin"/>
      </w:r>
      <w:r>
        <w:instrText xml:space="preserve"> HYPERLINK \l "_Toc256000206" </w:instrText>
      </w:r>
      <w:r>
        <w:fldChar w:fldCharType="separate"/>
      </w:r>
      <w:r>
        <w:rPr>
          <w:rStyle w:val="Hyperlink"/>
        </w:rPr>
        <w:t>13.19.</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_Toc256000206 \h </w:instrText>
      </w:r>
      <w:r>
        <w:fldChar w:fldCharType="separate"/>
      </w:r>
      <w:r>
        <w:t>745</w:t>
      </w:r>
      <w:r>
        <w:fldChar w:fldCharType="end"/>
      </w:r>
      <w:r>
        <w:fldChar w:fldCharType="end"/>
      </w:r>
    </w:p>
    <w:p>
      <w:pPr>
        <w:pStyle w:val="TOC2"/>
        <w:rPr>
          <w:rFonts w:ascii="Calibri" w:hAnsi="Calibri"/>
          <w:noProof/>
          <w:sz w:val="22"/>
        </w:rPr>
      </w:pPr>
      <w:r>
        <w:fldChar w:fldCharType="begin"/>
      </w:r>
      <w:r>
        <w:instrText xml:space="preserve"> HYPERLINK \l "_Toc256000207" </w:instrText>
      </w:r>
      <w:r>
        <w:fldChar w:fldCharType="separate"/>
      </w:r>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_Toc256000207 \h </w:instrText>
      </w:r>
      <w:r>
        <w:fldChar w:fldCharType="separate"/>
      </w:r>
      <w:r>
        <w:t>746</w:t>
      </w:r>
      <w:r>
        <w:fldChar w:fldCharType="end"/>
      </w:r>
      <w:r>
        <w:fldChar w:fldCharType="end"/>
      </w:r>
    </w:p>
    <w:p>
      <w:pPr>
        <w:pStyle w:val="TOC2"/>
        <w:rPr>
          <w:rFonts w:ascii="Calibri" w:hAnsi="Calibri"/>
          <w:noProof/>
          <w:sz w:val="22"/>
        </w:rPr>
      </w:pPr>
      <w:r>
        <w:fldChar w:fldCharType="begin"/>
      </w:r>
      <w:r>
        <w:instrText xml:space="preserve"> HYPERLINK \l "_Toc256000208" </w:instrText>
      </w:r>
      <w:r>
        <w:fldChar w:fldCharType="separate"/>
      </w:r>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_Toc256000208 \h </w:instrText>
      </w:r>
      <w:r>
        <w:fldChar w:fldCharType="separate"/>
      </w:r>
      <w:r>
        <w:t>746</w:t>
      </w:r>
      <w:r>
        <w:fldChar w:fldCharType="end"/>
      </w:r>
      <w:r>
        <w:fldChar w:fldCharType="end"/>
      </w:r>
    </w:p>
    <w:p>
      <w:pPr>
        <w:pStyle w:val="TOC2"/>
        <w:rPr>
          <w:rFonts w:ascii="Calibri" w:hAnsi="Calibri"/>
          <w:noProof/>
          <w:sz w:val="22"/>
        </w:rPr>
      </w:pPr>
      <w:r>
        <w:fldChar w:fldCharType="begin"/>
      </w:r>
      <w:r>
        <w:instrText xml:space="preserve"> HYPERLINK \l "_Toc256000209" </w:instrText>
      </w:r>
      <w:r>
        <w:fldChar w:fldCharType="separate"/>
      </w:r>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_Toc256000209 \h </w:instrText>
      </w:r>
      <w:r>
        <w:fldChar w:fldCharType="separate"/>
      </w:r>
      <w:r>
        <w:t>747</w:t>
      </w:r>
      <w:r>
        <w:fldChar w:fldCharType="end"/>
      </w:r>
      <w:r>
        <w:fldChar w:fldCharType="end"/>
      </w:r>
    </w:p>
    <w:p>
      <w:pPr>
        <w:pStyle w:val="TOC1"/>
        <w:rPr>
          <w:rFonts w:ascii="Calibri" w:hAnsi="Calibri"/>
          <w:noProof/>
          <w:sz w:val="22"/>
        </w:rPr>
      </w:pPr>
      <w:r>
        <w:fldChar w:fldCharType="begin"/>
      </w:r>
      <w:r>
        <w:instrText xml:space="preserve"> HYPERLINK \l "_Toc256000210" </w:instrText>
      </w:r>
      <w:r>
        <w:fldChar w:fldCharType="separate"/>
      </w:r>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_Toc256000210 \h </w:instrText>
      </w:r>
      <w:r>
        <w:fldChar w:fldCharType="separate"/>
      </w:r>
      <w:r>
        <w:t>749</w:t>
      </w:r>
      <w:r>
        <w:fldChar w:fldCharType="end"/>
      </w:r>
      <w:r>
        <w:fldChar w:fldCharType="end"/>
      </w:r>
    </w:p>
    <w:p>
      <w:pPr>
        <w:pStyle w:val="TOC2"/>
        <w:rPr>
          <w:rFonts w:ascii="Calibri" w:hAnsi="Calibri"/>
          <w:noProof/>
          <w:sz w:val="22"/>
        </w:rPr>
      </w:pPr>
      <w:r>
        <w:fldChar w:fldCharType="begin"/>
      </w:r>
      <w:r>
        <w:instrText xml:space="preserve"> HYPERLINK \l "_Toc256000211" </w:instrText>
      </w:r>
      <w:r>
        <w:fldChar w:fldCharType="separate"/>
      </w:r>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_Toc256000211 \h </w:instrText>
      </w:r>
      <w:r>
        <w:fldChar w:fldCharType="separate"/>
      </w:r>
      <w:r>
        <w:t>749</w:t>
      </w:r>
      <w:r>
        <w:fldChar w:fldCharType="end"/>
      </w:r>
      <w:r>
        <w:fldChar w:fldCharType="end"/>
      </w:r>
    </w:p>
    <w:p>
      <w:pPr>
        <w:pStyle w:val="TOC3"/>
        <w:rPr>
          <w:rFonts w:ascii="Calibri" w:hAnsi="Calibri"/>
          <w:noProof/>
          <w:sz w:val="22"/>
        </w:rPr>
      </w:pPr>
      <w:r>
        <w:fldChar w:fldCharType="begin"/>
      </w:r>
      <w:r>
        <w:instrText xml:space="preserve"> HYPERLINK \l "_Toc256000212" </w:instrText>
      </w:r>
      <w:r>
        <w:fldChar w:fldCharType="separate"/>
      </w:r>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_Toc256000212 \h </w:instrText>
      </w:r>
      <w:r>
        <w:fldChar w:fldCharType="separate"/>
      </w:r>
      <w:r>
        <w:t>749</w:t>
      </w:r>
      <w:r>
        <w:fldChar w:fldCharType="end"/>
      </w:r>
      <w:r>
        <w:fldChar w:fldCharType="end"/>
      </w:r>
    </w:p>
    <w:p>
      <w:pPr>
        <w:pStyle w:val="TOC3"/>
        <w:rPr>
          <w:rFonts w:ascii="Calibri" w:hAnsi="Calibri"/>
          <w:noProof/>
          <w:sz w:val="22"/>
        </w:rPr>
      </w:pPr>
      <w:r>
        <w:fldChar w:fldCharType="begin"/>
      </w:r>
      <w:r>
        <w:instrText xml:space="preserve"> HYPERLINK \l "_Toc256000213" </w:instrText>
      </w:r>
      <w:r>
        <w:fldChar w:fldCharType="separate"/>
      </w:r>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_Toc256000213 \h </w:instrText>
      </w:r>
      <w:r>
        <w:fldChar w:fldCharType="separate"/>
      </w:r>
      <w:r>
        <w:t>757</w:t>
      </w:r>
      <w:r>
        <w:fldChar w:fldCharType="end"/>
      </w:r>
      <w:r>
        <w:fldChar w:fldCharType="end"/>
      </w:r>
    </w:p>
    <w:p>
      <w:pPr>
        <w:pStyle w:val="TOC2"/>
        <w:rPr>
          <w:rFonts w:ascii="Calibri" w:hAnsi="Calibri"/>
          <w:noProof/>
          <w:sz w:val="22"/>
        </w:rPr>
      </w:pPr>
      <w:r>
        <w:fldChar w:fldCharType="begin"/>
      </w:r>
      <w:r>
        <w:instrText xml:space="preserve"> HYPERLINK \l "_Toc256000214" </w:instrText>
      </w:r>
      <w:r>
        <w:fldChar w:fldCharType="separate"/>
      </w:r>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_Toc256000214 \h </w:instrText>
      </w:r>
      <w:r>
        <w:fldChar w:fldCharType="separate"/>
      </w:r>
      <w:r>
        <w:t>757</w:t>
      </w:r>
      <w:r>
        <w:fldChar w:fldCharType="end"/>
      </w:r>
      <w:r>
        <w:fldChar w:fldCharType="end"/>
      </w:r>
    </w:p>
    <w:p>
      <w:pPr>
        <w:pStyle w:val="TOC1"/>
        <w:rPr>
          <w:rFonts w:ascii="Calibri" w:hAnsi="Calibri"/>
          <w:noProof/>
          <w:sz w:val="22"/>
        </w:rPr>
      </w:pPr>
      <w:r>
        <w:fldChar w:fldCharType="begin"/>
      </w:r>
      <w:r>
        <w:instrText xml:space="preserve"> HYPERLINK \l "_Toc256000215" </w:instrText>
      </w:r>
      <w:r>
        <w:fldChar w:fldCharType="separate"/>
      </w:r>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_Toc256000215 \h </w:instrText>
      </w:r>
      <w:r>
        <w:fldChar w:fldCharType="separate"/>
      </w:r>
      <w:r>
        <w:t>760</w:t>
      </w:r>
      <w:r>
        <w:fldChar w:fldCharType="end"/>
      </w:r>
      <w:r>
        <w:fldChar w:fldCharType="end"/>
      </w:r>
    </w:p>
    <w:p>
      <w:pPr>
        <w:pStyle w:val="TOC2"/>
        <w:rPr>
          <w:rFonts w:ascii="Calibri" w:hAnsi="Calibri"/>
          <w:noProof/>
          <w:sz w:val="22"/>
        </w:rPr>
      </w:pPr>
      <w:r>
        <w:fldChar w:fldCharType="begin"/>
      </w:r>
      <w:r>
        <w:instrText xml:space="preserve"> HYPERLINK \l "_Toc256000216" </w:instrText>
      </w:r>
      <w:r>
        <w:fldChar w:fldCharType="separate"/>
      </w:r>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_Toc256000216 \h </w:instrText>
      </w:r>
      <w:r>
        <w:fldChar w:fldCharType="separate"/>
      </w:r>
      <w:r>
        <w:t>760</w:t>
      </w:r>
      <w:r>
        <w:fldChar w:fldCharType="end"/>
      </w:r>
      <w:r>
        <w:fldChar w:fldCharType="end"/>
      </w:r>
    </w:p>
    <w:p>
      <w:pPr>
        <w:pStyle w:val="TOC3"/>
        <w:rPr>
          <w:rFonts w:ascii="Calibri" w:hAnsi="Calibri"/>
          <w:noProof/>
          <w:sz w:val="22"/>
        </w:rPr>
      </w:pPr>
      <w:r>
        <w:fldChar w:fldCharType="begin"/>
      </w:r>
      <w:r>
        <w:instrText xml:space="preserve"> HYPERLINK \l "_Toc256000217" </w:instrText>
      </w:r>
      <w:r>
        <w:fldChar w:fldCharType="separate"/>
      </w:r>
      <w:r>
        <w:rPr>
          <w:rStyle w:val="Hyperlink"/>
        </w:rPr>
        <w:t>15.1.1.</w:t>
      </w:r>
      <w:r>
        <w:rPr>
          <w:rStyle w:val="Hyperlink"/>
        </w:rPr>
        <w:t xml:space="preserve"> </w:t>
      </w:r>
      <w:r>
        <w:rPr>
          <w:rStyle w:val="Hyperlink"/>
        </w:rPr>
        <w:t>Органи</w:t>
      </w:r>
      <w:r>
        <w:tab/>
      </w:r>
      <w:r>
        <w:fldChar w:fldCharType="begin"/>
      </w:r>
      <w:r>
        <w:instrText xml:space="preserve"> PAGEREF _Toc256000217 \h </w:instrText>
      </w:r>
      <w:r>
        <w:fldChar w:fldCharType="separate"/>
      </w:r>
      <w:r>
        <w:t>760</w:t>
      </w:r>
      <w:r>
        <w:fldChar w:fldCharType="end"/>
      </w:r>
      <w:r>
        <w:fldChar w:fldCharType="end"/>
      </w:r>
    </w:p>
    <w:p>
      <w:pPr>
        <w:pStyle w:val="TOC3"/>
        <w:rPr>
          <w:rFonts w:ascii="Calibri" w:hAnsi="Calibri"/>
          <w:noProof/>
          <w:sz w:val="22"/>
        </w:rPr>
      </w:pPr>
      <w:r>
        <w:fldChar w:fldCharType="begin"/>
      </w:r>
      <w:r>
        <w:instrText xml:space="preserve"> HYPERLINK \l "_Toc256000218" </w:instrText>
      </w:r>
      <w:r>
        <w:fldChar w:fldCharType="separate"/>
      </w:r>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_Toc256000218 \h </w:instrText>
      </w:r>
      <w:r>
        <w:fldChar w:fldCharType="separate"/>
      </w:r>
      <w:r>
        <w:t>760</w:t>
      </w:r>
      <w:r>
        <w:fldChar w:fldCharType="end"/>
      </w:r>
      <w:r>
        <w:fldChar w:fldCharType="end"/>
      </w:r>
    </w:p>
    <w:p>
      <w:pPr>
        <w:pStyle w:val="TOC2"/>
        <w:rPr>
          <w:rFonts w:ascii="Calibri" w:hAnsi="Calibri"/>
          <w:noProof/>
          <w:sz w:val="22"/>
        </w:rPr>
      </w:pPr>
      <w:r>
        <w:fldChar w:fldCharType="begin"/>
      </w:r>
      <w:r>
        <w:instrText xml:space="preserve"> HYPERLINK \l "_Toc256000219" </w:instrText>
      </w:r>
      <w:r>
        <w:fldChar w:fldCharType="separate"/>
      </w:r>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_Toc256000219 \h </w:instrText>
      </w:r>
      <w:r>
        <w:fldChar w:fldCharType="separate"/>
      </w:r>
      <w:r>
        <w:t>764</w:t>
      </w:r>
      <w:r>
        <w:fldChar w:fldCharType="end"/>
      </w:r>
      <w:r>
        <w:fldChar w:fldCharType="end"/>
      </w:r>
    </w:p>
    <w:p>
      <w:pPr>
        <w:pStyle w:val="TOC2"/>
        <w:rPr>
          <w:rFonts w:ascii="Calibri" w:hAnsi="Calibri"/>
          <w:noProof/>
          <w:sz w:val="22"/>
        </w:rPr>
      </w:pPr>
      <w:r>
        <w:fldChar w:fldCharType="begin"/>
      </w:r>
      <w:r>
        <w:instrText xml:space="preserve"> HYPERLINK \l "_Toc256000220" </w:instrText>
      </w:r>
      <w:r>
        <w:fldChar w:fldCharType="separate"/>
      </w:r>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_Toc256000220 \h </w:instrText>
      </w:r>
      <w:r>
        <w:fldChar w:fldCharType="separate"/>
      </w:r>
      <w:r>
        <w:t>766</w:t>
      </w:r>
      <w:r>
        <w:fldChar w:fldCharType="end"/>
      </w:r>
      <w:r>
        <w:fldChar w:fldCharType="end"/>
      </w:r>
    </w:p>
    <w:p>
      <w:pPr>
        <w:pStyle w:val="TOC2"/>
        <w:rPr>
          <w:rFonts w:ascii="Calibri" w:hAnsi="Calibri"/>
          <w:noProof/>
          <w:sz w:val="22"/>
        </w:rPr>
      </w:pPr>
      <w:r>
        <w:fldChar w:fldCharType="begin"/>
      </w:r>
      <w:r>
        <w:instrText xml:space="preserve"> HYPERLINK \l "_Toc256000221" </w:instrText>
      </w:r>
      <w:r>
        <w:fldChar w:fldCharType="separate"/>
      </w:r>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_Toc256000221 \h </w:instrText>
      </w:r>
      <w:r>
        <w:fldChar w:fldCharType="separate"/>
      </w:r>
      <w:r>
        <w:t>771</w:t>
      </w:r>
      <w:r>
        <w:fldChar w:fldCharType="end"/>
      </w:r>
      <w:r>
        <w:fldChar w:fldCharType="end"/>
      </w:r>
    </w:p>
    <w:p>
      <w:pPr>
        <w:pStyle w:val="TOC2"/>
        <w:rPr>
          <w:rFonts w:ascii="Calibri" w:hAnsi="Calibri"/>
          <w:noProof/>
          <w:sz w:val="22"/>
        </w:rPr>
      </w:pPr>
      <w:r>
        <w:fldChar w:fldCharType="begin"/>
      </w:r>
      <w:r>
        <w:instrText xml:space="preserve"> HYPERLINK \l "_Toc256000222" </w:instrText>
      </w:r>
      <w:r>
        <w:fldChar w:fldCharType="separate"/>
      </w:r>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_Toc256000222 \h </w:instrText>
      </w:r>
      <w:r>
        <w:fldChar w:fldCharType="separate"/>
      </w:r>
      <w:r>
        <w:t>772</w:t>
      </w:r>
      <w:r>
        <w:fldChar w:fldCharType="end"/>
      </w:r>
      <w:r>
        <w:fldChar w:fldCharType="end"/>
      </w:r>
    </w:p>
    <w:p>
      <w:pPr>
        <w:pStyle w:val="TOC2"/>
        <w:rPr>
          <w:rFonts w:ascii="Calibri" w:hAnsi="Calibri"/>
          <w:noProof/>
          <w:sz w:val="22"/>
        </w:rPr>
      </w:pPr>
      <w:r>
        <w:fldChar w:fldCharType="begin"/>
      </w:r>
      <w:r>
        <w:instrText xml:space="preserve"> HYPERLINK \l "_Toc256000223" </w:instrText>
      </w:r>
      <w:r>
        <w:fldChar w:fldCharType="separate"/>
      </w:r>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_Toc256000223 \h </w:instrText>
      </w:r>
      <w:r>
        <w:fldChar w:fldCharType="separate"/>
      </w:r>
      <w:r>
        <w:t>776</w:t>
      </w:r>
      <w:r>
        <w:fldChar w:fldCharType="end"/>
      </w:r>
      <w:r>
        <w:fldChar w:fldCharType="end"/>
      </w:r>
    </w:p>
    <w:p>
      <w:pPr>
        <w:pStyle w:val="TOC1"/>
        <w:rPr>
          <w:rFonts w:ascii="Calibri" w:hAnsi="Calibri"/>
          <w:noProof/>
          <w:sz w:val="22"/>
        </w:rPr>
      </w:pPr>
      <w:r>
        <w:fldChar w:fldCharType="begin"/>
      </w:r>
      <w:r>
        <w:instrText xml:space="preserve"> HYPERLINK \l "_Toc256000224" </w:instrText>
      </w:r>
      <w:r>
        <w:fldChar w:fldCharType="separate"/>
      </w:r>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_Toc256000224 \h </w:instrText>
      </w:r>
      <w:r>
        <w:fldChar w:fldCharType="separate"/>
      </w:r>
      <w:r>
        <w:t>780</w:t>
      </w:r>
      <w:r>
        <w:fldChar w:fldCharType="end"/>
      </w:r>
      <w:r>
        <w:fldChar w:fldCharType="end"/>
      </w:r>
    </w:p>
    <w:p>
      <w:pPr>
        <w:pStyle w:val="TOC2"/>
        <w:rPr>
          <w:rFonts w:ascii="Calibri" w:hAnsi="Calibri"/>
          <w:noProof/>
          <w:sz w:val="22"/>
        </w:rPr>
      </w:pPr>
      <w:r>
        <w:fldChar w:fldCharType="begin"/>
      </w:r>
      <w:r>
        <w:instrText xml:space="preserve"> HYPERLINK \l "_Toc256000225" </w:instrText>
      </w:r>
      <w:r>
        <w:fldChar w:fldCharType="separate"/>
      </w:r>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_Toc256000225 \h </w:instrText>
      </w:r>
      <w:r>
        <w:fldChar w:fldCharType="separate"/>
      </w:r>
      <w:r>
        <w:t>780</w:t>
      </w:r>
      <w:r>
        <w:fldChar w:fldCharType="end"/>
      </w:r>
      <w:r>
        <w:fldChar w:fldCharType="end"/>
      </w:r>
    </w:p>
    <w:p>
      <w:pPr>
        <w:pStyle w:val="TOC3"/>
        <w:rPr>
          <w:rFonts w:ascii="Calibri" w:hAnsi="Calibri"/>
          <w:noProof/>
          <w:sz w:val="22"/>
        </w:rPr>
      </w:pPr>
      <w:r>
        <w:fldChar w:fldCharType="begin"/>
      </w:r>
      <w:r>
        <w:instrText xml:space="preserve"> HYPERLINK \l "_Toc256000226" </w:instrText>
      </w:r>
      <w:r>
        <w:fldChar w:fldCharType="separate"/>
      </w:r>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_Toc256000226 \h </w:instrText>
      </w:r>
      <w:r>
        <w:fldChar w:fldCharType="separate"/>
      </w:r>
      <w:r>
        <w:t>780</w:t>
      </w:r>
      <w:r>
        <w:fldChar w:fldCharType="end"/>
      </w:r>
      <w:r>
        <w:fldChar w:fldCharType="end"/>
      </w:r>
    </w:p>
    <w:p>
      <w:pPr>
        <w:pStyle w:val="TOC3"/>
        <w:rPr>
          <w:rFonts w:ascii="Calibri" w:hAnsi="Calibri"/>
          <w:noProof/>
          <w:sz w:val="22"/>
        </w:rPr>
      </w:pPr>
      <w:r>
        <w:fldChar w:fldCharType="begin"/>
      </w:r>
      <w:r>
        <w:instrText xml:space="preserve"> HYPERLINK \l "_Toc256000227" </w:instrText>
      </w:r>
      <w:r>
        <w:fldChar w:fldCharType="separate"/>
      </w:r>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_Toc256000227 \h </w:instrText>
      </w:r>
      <w:r>
        <w:fldChar w:fldCharType="separate"/>
      </w:r>
      <w:r>
        <w:t>780</w:t>
      </w:r>
      <w:r>
        <w:fldChar w:fldCharType="end"/>
      </w:r>
      <w:r>
        <w:fldChar w:fldCharType="end"/>
      </w:r>
    </w:p>
    <w:p>
      <w:pPr>
        <w:pStyle w:val="TOC2"/>
        <w:rPr>
          <w:rFonts w:ascii="Calibri" w:hAnsi="Calibri"/>
          <w:noProof/>
          <w:sz w:val="22"/>
        </w:rPr>
      </w:pPr>
      <w:r>
        <w:fldChar w:fldCharType="begin"/>
      </w:r>
      <w:r>
        <w:instrText xml:space="preserve"> HYPERLINK \l "_Toc256000228" </w:instrText>
      </w:r>
      <w:r>
        <w:fldChar w:fldCharType="separate"/>
      </w:r>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_Toc256000228 \h </w:instrText>
      </w:r>
      <w:r>
        <w:fldChar w:fldCharType="separate"/>
      </w:r>
      <w:r>
        <w:t>780</w:t>
      </w:r>
      <w:r>
        <w:fldChar w:fldCharType="end"/>
      </w:r>
      <w:r>
        <w:fldChar w:fldCharType="end"/>
      </w:r>
    </w:p>
    <w:p>
      <w:pPr>
        <w:pStyle w:val="TOC3"/>
        <w:rPr>
          <w:rFonts w:ascii="Calibri" w:hAnsi="Calibri"/>
          <w:noProof/>
          <w:sz w:val="22"/>
        </w:rPr>
      </w:pPr>
      <w:r>
        <w:fldChar w:fldCharType="begin"/>
      </w:r>
      <w:r>
        <w:instrText xml:space="preserve"> HYPERLINK \l "_Toc256000229" </w:instrText>
      </w:r>
      <w:r>
        <w:fldChar w:fldCharType="separate"/>
      </w:r>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_Toc256000229 \h </w:instrText>
      </w:r>
      <w:r>
        <w:fldChar w:fldCharType="separate"/>
      </w:r>
      <w:r>
        <w:t>780</w:t>
      </w:r>
      <w:r>
        <w:fldChar w:fldCharType="end"/>
      </w:r>
      <w:r>
        <w:fldChar w:fldCharType="end"/>
      </w:r>
    </w:p>
    <w:p>
      <w:pPr>
        <w:pStyle w:val="TOC3"/>
        <w:rPr>
          <w:rFonts w:ascii="Calibri" w:hAnsi="Calibri"/>
          <w:noProof/>
          <w:sz w:val="22"/>
        </w:rPr>
      </w:pPr>
      <w:r>
        <w:fldChar w:fldCharType="begin"/>
      </w:r>
      <w:r>
        <w:instrText xml:space="preserve"> HYPERLINK \l "_Toc256000230" </w:instrText>
      </w:r>
      <w:r>
        <w:fldChar w:fldCharType="separate"/>
      </w:r>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_Toc256000230 \h </w:instrText>
      </w:r>
      <w:r>
        <w:fldChar w:fldCharType="separate"/>
      </w:r>
      <w:r>
        <w:t>780</w:t>
      </w:r>
      <w:r>
        <w:fldChar w:fldCharType="end"/>
      </w:r>
      <w:r>
        <w:fldChar w:fldCharType="end"/>
      </w:r>
    </w:p>
    <w:p>
      <w:pPr>
        <w:pStyle w:val="TOC2"/>
        <w:rPr>
          <w:rFonts w:ascii="Calibri" w:hAnsi="Calibri"/>
          <w:noProof/>
          <w:sz w:val="22"/>
        </w:rPr>
      </w:pPr>
      <w:r>
        <w:fldChar w:fldCharType="begin"/>
      </w:r>
      <w:r>
        <w:instrText xml:space="preserve"> HYPERLINK \l "_Toc256000231" </w:instrText>
      </w:r>
      <w:r>
        <w:fldChar w:fldCharType="separate"/>
      </w:r>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_Toc256000231 \h </w:instrText>
      </w:r>
      <w:r>
        <w:fldChar w:fldCharType="separate"/>
      </w:r>
      <w:r>
        <w:t>781</w:t>
      </w:r>
      <w:r>
        <w:fldChar w:fldCharType="end"/>
      </w:r>
      <w:r>
        <w:fldChar w:fldCharType="end"/>
      </w:r>
    </w:p>
    <w:p>
      <w:pPr>
        <w:pStyle w:val="TOC3"/>
        <w:rPr>
          <w:rFonts w:ascii="Calibri" w:hAnsi="Calibri"/>
          <w:noProof/>
          <w:sz w:val="22"/>
        </w:rPr>
      </w:pPr>
      <w:r>
        <w:fldChar w:fldCharType="begin"/>
      </w:r>
      <w:r>
        <w:instrText xml:space="preserve"> HYPERLINK \l "_Toc256000232" </w:instrText>
      </w:r>
      <w:r>
        <w:fldChar w:fldCharType="separate"/>
      </w:r>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_Toc256000232 \h </w:instrText>
      </w:r>
      <w:r>
        <w:fldChar w:fldCharType="separate"/>
      </w:r>
      <w:r>
        <w:t>781</w:t>
      </w:r>
      <w:r>
        <w:fldChar w:fldCharType="end"/>
      </w:r>
      <w:r>
        <w:fldChar w:fldCharType="end"/>
      </w:r>
    </w:p>
    <w:p>
      <w:pPr>
        <w:pStyle w:val="TOC3"/>
        <w:rPr>
          <w:rFonts w:ascii="Calibri" w:hAnsi="Calibri"/>
          <w:noProof/>
          <w:sz w:val="22"/>
        </w:rPr>
      </w:pPr>
      <w:r>
        <w:fldChar w:fldCharType="begin"/>
      </w:r>
      <w:r>
        <w:instrText xml:space="preserve"> HYPERLINK \l "_Toc256000233" </w:instrText>
      </w:r>
      <w:r>
        <w:fldChar w:fldCharType="separate"/>
      </w:r>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_Toc256000233 \h </w:instrText>
      </w:r>
      <w:r>
        <w:fldChar w:fldCharType="separate"/>
      </w:r>
      <w:r>
        <w:t>781</w:t>
      </w:r>
      <w:r>
        <w:fldChar w:fldCharType="end"/>
      </w:r>
      <w:r>
        <w:fldChar w:fldCharType="end"/>
      </w:r>
    </w:p>
    <w:p>
      <w:pPr>
        <w:pStyle w:val="TOC2"/>
        <w:rPr>
          <w:rFonts w:ascii="Calibri" w:hAnsi="Calibri"/>
          <w:noProof/>
          <w:sz w:val="22"/>
        </w:rPr>
      </w:pPr>
      <w:r>
        <w:fldChar w:fldCharType="begin"/>
      </w:r>
      <w:r>
        <w:instrText xml:space="preserve"> HYPERLINK \l "_Toc256000234" </w:instrText>
      </w:r>
      <w:r>
        <w:fldChar w:fldCharType="separate"/>
      </w:r>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_Toc256000234 \h </w:instrText>
      </w:r>
      <w:r>
        <w:fldChar w:fldCharType="separate"/>
      </w:r>
      <w:r>
        <w:t>781</w:t>
      </w:r>
      <w:r>
        <w:fldChar w:fldCharType="end"/>
      </w:r>
      <w:r>
        <w:fldChar w:fldCharType="end"/>
      </w:r>
    </w:p>
    <w:p>
      <w:pPr>
        <w:pStyle w:val="TOC3"/>
        <w:rPr>
          <w:rFonts w:ascii="Calibri" w:hAnsi="Calibri"/>
          <w:noProof/>
          <w:sz w:val="22"/>
        </w:rPr>
      </w:pPr>
      <w:r>
        <w:fldChar w:fldCharType="begin"/>
      </w:r>
      <w:r>
        <w:instrText xml:space="preserve"> HYPERLINK \l "_Toc256000235" </w:instrText>
      </w:r>
      <w:r>
        <w:fldChar w:fldCharType="separate"/>
      </w:r>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_Toc256000235 \h </w:instrText>
      </w:r>
      <w:r>
        <w:fldChar w:fldCharType="separate"/>
      </w:r>
      <w:r>
        <w:t>781</w:t>
      </w:r>
      <w:r>
        <w:fldChar w:fldCharType="end"/>
      </w:r>
      <w:r>
        <w:fldChar w:fldCharType="end"/>
      </w:r>
    </w:p>
    <w:p>
      <w:pPr>
        <w:pStyle w:val="TOC3"/>
        <w:rPr>
          <w:rFonts w:ascii="Calibri" w:hAnsi="Calibri"/>
          <w:noProof/>
          <w:sz w:val="22"/>
        </w:rPr>
      </w:pPr>
      <w:r>
        <w:fldChar w:fldCharType="begin"/>
      </w:r>
      <w:r>
        <w:instrText xml:space="preserve"> HYPERLINK \l "_Toc256000236" </w:instrText>
      </w:r>
      <w:r>
        <w:fldChar w:fldCharType="separate"/>
      </w:r>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_Toc256000236 \h </w:instrText>
      </w:r>
      <w:r>
        <w:fldChar w:fldCharType="separate"/>
      </w:r>
      <w:r>
        <w:t>781</w:t>
      </w:r>
      <w:r>
        <w:fldChar w:fldCharType="end"/>
      </w:r>
      <w:r>
        <w:fldChar w:fldCharType="end"/>
      </w:r>
    </w:p>
    <w:p>
      <w:pPr>
        <w:pStyle w:val="TOC2"/>
        <w:rPr>
          <w:rFonts w:ascii="Calibri" w:hAnsi="Calibri"/>
          <w:noProof/>
          <w:sz w:val="22"/>
        </w:rPr>
      </w:pPr>
      <w:r>
        <w:fldChar w:fldCharType="begin"/>
      </w:r>
      <w:r>
        <w:instrText xml:space="preserve"> HYPERLINK \l "_Toc256000237" </w:instrText>
      </w:r>
      <w:r>
        <w:fldChar w:fldCharType="separate"/>
      </w:r>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_Toc256000237 \h </w:instrText>
      </w:r>
      <w:r>
        <w:fldChar w:fldCharType="separate"/>
      </w:r>
      <w:r>
        <w:t>782</w:t>
      </w:r>
      <w:r>
        <w:fldChar w:fldCharType="end"/>
      </w:r>
      <w:r>
        <w:fldChar w:fldCharType="end"/>
      </w:r>
    </w:p>
    <w:p>
      <w:pPr>
        <w:pStyle w:val="TOC3"/>
        <w:rPr>
          <w:rFonts w:ascii="Calibri" w:hAnsi="Calibri"/>
          <w:noProof/>
          <w:sz w:val="22"/>
        </w:rPr>
      </w:pPr>
      <w:r>
        <w:fldChar w:fldCharType="begin"/>
      </w:r>
      <w:r>
        <w:instrText xml:space="preserve"> HYPERLINK \l "_Toc256000238" </w:instrText>
      </w:r>
      <w:r>
        <w:fldChar w:fldCharType="separate"/>
      </w:r>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_Toc256000238 \h </w:instrText>
      </w:r>
      <w:r>
        <w:fldChar w:fldCharType="separate"/>
      </w:r>
      <w:r>
        <w:t>782</w:t>
      </w:r>
      <w:r>
        <w:fldChar w:fldCharType="end"/>
      </w:r>
      <w:r>
        <w:fldChar w:fldCharType="end"/>
      </w:r>
    </w:p>
    <w:p>
      <w:pPr>
        <w:pStyle w:val="TOC3"/>
        <w:rPr>
          <w:rFonts w:ascii="Calibri" w:hAnsi="Calibri"/>
          <w:noProof/>
          <w:sz w:val="22"/>
        </w:rPr>
      </w:pPr>
      <w:r>
        <w:fldChar w:fldCharType="begin"/>
      </w:r>
      <w:r>
        <w:instrText xml:space="preserve"> HYPERLINK \l "_Toc256000239" </w:instrText>
      </w:r>
      <w:r>
        <w:fldChar w:fldCharType="separate"/>
      </w:r>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_Toc256000239 \h </w:instrText>
      </w:r>
      <w:r>
        <w:fldChar w:fldCharType="separate"/>
      </w:r>
      <w:r>
        <w:t>782</w:t>
      </w:r>
      <w:r>
        <w:fldChar w:fldCharType="end"/>
      </w:r>
      <w:r>
        <w:fldChar w:fldCharType="end"/>
      </w:r>
    </w:p>
    <w:p>
      <w:pPr>
        <w:pStyle w:val="TOC2"/>
        <w:rPr>
          <w:rFonts w:ascii="Calibri" w:hAnsi="Calibri"/>
          <w:noProof/>
          <w:sz w:val="22"/>
        </w:rPr>
      </w:pPr>
      <w:r>
        <w:fldChar w:fldCharType="begin"/>
      </w:r>
      <w:r>
        <w:instrText xml:space="preserve"> HYPERLINK \l "_Toc256000240" </w:instrText>
      </w:r>
      <w:r>
        <w:fldChar w:fldCharType="separate"/>
      </w:r>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_Toc256000240 \h </w:instrText>
      </w:r>
      <w:r>
        <w:fldChar w:fldCharType="separate"/>
      </w:r>
      <w:r>
        <w:t>782</w:t>
      </w:r>
      <w:r>
        <w:fldChar w:fldCharType="end"/>
      </w:r>
      <w:r>
        <w:fldChar w:fldCharType="end"/>
      </w:r>
    </w:p>
    <w:p>
      <w:pPr>
        <w:pStyle w:val="TOC3"/>
        <w:rPr>
          <w:rFonts w:ascii="Calibri" w:hAnsi="Calibri"/>
          <w:noProof/>
          <w:sz w:val="22"/>
        </w:rPr>
      </w:pPr>
      <w:r>
        <w:fldChar w:fldCharType="begin"/>
      </w:r>
      <w:r>
        <w:instrText xml:space="preserve"> HYPERLINK \l "_Toc256000241" </w:instrText>
      </w:r>
      <w:r>
        <w:fldChar w:fldCharType="separate"/>
      </w:r>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_Toc256000241 \h </w:instrText>
      </w:r>
      <w:r>
        <w:fldChar w:fldCharType="separate"/>
      </w:r>
      <w:r>
        <w:t>782</w:t>
      </w:r>
      <w:r>
        <w:fldChar w:fldCharType="end"/>
      </w:r>
      <w:r>
        <w:fldChar w:fldCharType="end"/>
      </w:r>
    </w:p>
    <w:p>
      <w:pPr>
        <w:pStyle w:val="TOC3"/>
        <w:rPr>
          <w:rFonts w:ascii="Calibri" w:hAnsi="Calibri"/>
          <w:noProof/>
          <w:sz w:val="22"/>
        </w:rPr>
      </w:pPr>
      <w:r>
        <w:fldChar w:fldCharType="begin"/>
      </w:r>
      <w:r>
        <w:instrText xml:space="preserve"> HYPERLINK \l "_Toc256000242" </w:instrText>
      </w:r>
      <w:r>
        <w:fldChar w:fldCharType="separate"/>
      </w:r>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_Toc256000242 \h </w:instrText>
      </w:r>
      <w:r>
        <w:fldChar w:fldCharType="separate"/>
      </w:r>
      <w:r>
        <w:t>782</w:t>
      </w:r>
      <w:r>
        <w:fldChar w:fldCharType="end"/>
      </w:r>
      <w:r>
        <w:fldChar w:fldCharType="end"/>
      </w:r>
    </w:p>
    <w:p>
      <w:pPr>
        <w:pStyle w:val="TOC2"/>
        <w:rPr>
          <w:rFonts w:ascii="Calibri" w:hAnsi="Calibri"/>
          <w:noProof/>
          <w:sz w:val="22"/>
        </w:rPr>
      </w:pPr>
      <w:r>
        <w:fldChar w:fldCharType="begin"/>
      </w:r>
      <w:r>
        <w:instrText xml:space="preserve"> HYPERLINK \l "_Toc256000243" </w:instrText>
      </w:r>
      <w:r>
        <w:fldChar w:fldCharType="separate"/>
      </w:r>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_Toc256000243 \h </w:instrText>
      </w:r>
      <w:r>
        <w:fldChar w:fldCharType="separate"/>
      </w:r>
      <w:r>
        <w:t>782</w:t>
      </w:r>
      <w:r>
        <w:fldChar w:fldCharType="end"/>
      </w:r>
      <w:r>
        <w:fldChar w:fldCharType="end"/>
      </w:r>
    </w:p>
    <w:p>
      <w:pPr>
        <w:pStyle w:val="TOC1"/>
        <w:rPr>
          <w:rFonts w:ascii="Calibri" w:hAnsi="Calibri"/>
          <w:noProof/>
          <w:sz w:val="22"/>
        </w:rPr>
      </w:pPr>
      <w:r>
        <w:fldChar w:fldCharType="begin"/>
      </w:r>
      <w:r>
        <w:instrText xml:space="preserve"> HYPERLINK \l "_Toc256000244" </w:instrText>
      </w:r>
      <w:r>
        <w:fldChar w:fldCharType="separate"/>
      </w:r>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_Toc256000244 \h </w:instrText>
      </w:r>
      <w:r>
        <w:fldChar w:fldCharType="separate"/>
      </w:r>
      <w:r>
        <w:t>786</w:t>
      </w:r>
      <w:r>
        <w:fldChar w:fldCharType="end"/>
      </w:r>
      <w:r>
        <w:fldChar w:fldCharType="end"/>
      </w:r>
    </w:p>
    <w:p>
      <w:pPr>
        <w:pStyle w:val="TOC2"/>
        <w:rPr>
          <w:rFonts w:ascii="Calibri" w:hAnsi="Calibri"/>
          <w:noProof/>
          <w:sz w:val="22"/>
        </w:rPr>
      </w:pPr>
      <w:r>
        <w:fldChar w:fldCharType="begin"/>
      </w:r>
      <w:r>
        <w:instrText xml:space="preserve"> HYPERLINK \l "_Toc256000245" </w:instrText>
      </w:r>
      <w:r>
        <w:fldChar w:fldCharType="separate"/>
      </w:r>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_Toc256000245 \h </w:instrText>
      </w:r>
      <w:r>
        <w:fldChar w:fldCharType="separate"/>
      </w:r>
      <w:r>
        <w:t>786</w:t>
      </w:r>
      <w:r>
        <w:fldChar w:fldCharType="end"/>
      </w:r>
      <w:r>
        <w:fldChar w:fldCharType="end"/>
      </w:r>
    </w:p>
    <w:p>
      <w:pPr>
        <w:pStyle w:val="TOC2"/>
        <w:rPr>
          <w:rFonts w:ascii="Calibri" w:hAnsi="Calibri"/>
          <w:noProof/>
          <w:sz w:val="22"/>
        </w:rPr>
      </w:pPr>
      <w:r>
        <w:fldChar w:fldCharType="begin"/>
      </w:r>
      <w:r>
        <w:instrText xml:space="preserve"> HYPERLINK \l "_Toc256000246" </w:instrText>
      </w:r>
      <w:r>
        <w:fldChar w:fldCharType="separate"/>
      </w:r>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_Toc256000246 \h </w:instrText>
      </w:r>
      <w:r>
        <w:fldChar w:fldCharType="separate"/>
      </w:r>
      <w:r>
        <w:t>786</w:t>
      </w:r>
      <w:r>
        <w:fldChar w:fldCharType="end"/>
      </w:r>
      <w:r>
        <w:fldChar w:fldCharType="end"/>
      </w:r>
    </w:p>
    <w:p>
      <w:pPr>
        <w:pStyle w:val="TOC2"/>
        <w:rPr>
          <w:rFonts w:ascii="Calibri" w:hAnsi="Calibri"/>
          <w:noProof/>
          <w:sz w:val="22"/>
        </w:rPr>
      </w:pPr>
      <w:r>
        <w:fldChar w:fldCharType="begin"/>
      </w:r>
      <w:r>
        <w:instrText xml:space="preserve"> HYPERLINK \l "_Toc256000247" </w:instrText>
      </w:r>
      <w:r>
        <w:fldChar w:fldCharType="separate"/>
      </w:r>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_Toc256000247 \h </w:instrText>
      </w:r>
      <w:r>
        <w:fldChar w:fldCharType="separate"/>
      </w:r>
      <w:r>
        <w:t>788</w:t>
      </w:r>
      <w:r>
        <w:fldChar w:fldCharType="end"/>
      </w:r>
      <w:r>
        <w:fldChar w:fldCharType="end"/>
      </w:r>
    </w:p>
    <w:p>
      <w:pPr>
        <w:pStyle w:val="TOC2"/>
        <w:rPr>
          <w:rFonts w:ascii="Calibri" w:hAnsi="Calibri"/>
          <w:noProof/>
          <w:sz w:val="22"/>
        </w:rPr>
      </w:pPr>
      <w:r>
        <w:fldChar w:fldCharType="begin"/>
      </w:r>
      <w:r>
        <w:instrText xml:space="preserve"> HYPERLINK \l "_Toc256000248" </w:instrText>
      </w:r>
      <w:r>
        <w:fldChar w:fldCharType="separate"/>
      </w:r>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_Toc256000248 \h </w:instrText>
      </w:r>
      <w:r>
        <w:fldChar w:fldCharType="separate"/>
      </w:r>
      <w:r>
        <w:t>794</w:t>
      </w:r>
      <w:r>
        <w:fldChar w:fldCharType="end"/>
      </w:r>
      <w:r>
        <w:fldChar w:fldCharType="end"/>
      </w:r>
    </w:p>
    <w:p>
      <w:pPr>
        <w:pStyle w:val="TOC1"/>
        <w:rPr>
          <w:rFonts w:ascii="Calibri" w:hAnsi="Calibri"/>
          <w:noProof/>
          <w:sz w:val="22"/>
        </w:rPr>
      </w:pPr>
      <w:r>
        <w:fldChar w:fldCharType="begin"/>
      </w:r>
      <w:r>
        <w:instrText xml:space="preserve"> HYPERLINK \l "_Toc256000249" </w:instrText>
      </w:r>
      <w:r>
        <w:fldChar w:fldCharType="separate"/>
      </w:r>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_Toc256000249 \h </w:instrText>
      </w:r>
      <w:r>
        <w:fldChar w:fldCharType="separate"/>
      </w:r>
      <w:r>
        <w:t>795</w:t>
      </w:r>
      <w:r>
        <w:fldChar w:fldCharType="end"/>
      </w:r>
      <w:r>
        <w:fldChar w:fldCharType="end"/>
      </w:r>
    </w:p>
    <w:p>
      <w:pPr>
        <w:pStyle w:val="TOC2"/>
        <w:rPr>
          <w:rFonts w:ascii="Calibri" w:hAnsi="Calibri"/>
          <w:noProof/>
          <w:sz w:val="22"/>
        </w:rPr>
      </w:pPr>
      <w:r>
        <w:fldChar w:fldCharType="begin"/>
      </w:r>
      <w:r>
        <w:instrText xml:space="preserve"> HYPERLINK \l "_Toc256000250" </w:instrText>
      </w:r>
      <w:r>
        <w:fldChar w:fldCharType="separate"/>
      </w:r>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_Toc256000250 \h </w:instrText>
      </w:r>
      <w:r>
        <w:fldChar w:fldCharType="separate"/>
      </w:r>
      <w:r>
        <w:t>795</w:t>
      </w:r>
      <w:r>
        <w:fldChar w:fldCharType="end"/>
      </w:r>
      <w:r>
        <w:fldChar w:fldCharType="end"/>
      </w:r>
    </w:p>
    <w:p>
      <w:pPr>
        <w:pStyle w:val="TOC2"/>
        <w:rPr>
          <w:rFonts w:ascii="Calibri" w:hAnsi="Calibri"/>
          <w:noProof/>
          <w:sz w:val="22"/>
        </w:rPr>
      </w:pPr>
      <w:r>
        <w:fldChar w:fldCharType="begin"/>
      </w:r>
      <w:r>
        <w:instrText xml:space="preserve"> HYPERLINK \l "_Toc256000251" </w:instrText>
      </w:r>
      <w:r>
        <w:fldChar w:fldCharType="separate"/>
      </w:r>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_Toc256000251 \h </w:instrText>
      </w:r>
      <w:r>
        <w:fldChar w:fldCharType="separate"/>
      </w:r>
      <w:r>
        <w:t>796</w:t>
      </w:r>
      <w:r>
        <w:fldChar w:fldCharType="end"/>
      </w:r>
      <w:r>
        <w:fldChar w:fldCharType="end"/>
      </w:r>
    </w:p>
    <w:p>
      <w:pPr>
        <w:pStyle w:val="TOC1"/>
        <w:rPr>
          <w:rFonts w:ascii="Calibri" w:hAnsi="Calibri"/>
          <w:noProof/>
          <w:sz w:val="22"/>
        </w:rPr>
      </w:pPr>
      <w:r>
        <w:fldChar w:fldCharType="begin"/>
      </w:r>
      <w:r>
        <w:instrText xml:space="preserve"> HYPERLINK \l "_Toc256000252" </w:instrText>
      </w:r>
      <w:r>
        <w:fldChar w:fldCharType="separate"/>
      </w:r>
      <w:r>
        <w:rPr>
          <w:rStyle w:val="Hyperlink"/>
        </w:rPr>
        <w:t>19.</w:t>
      </w:r>
      <w:r>
        <w:rPr>
          <w:rStyle w:val="Hyperlink"/>
        </w:rPr>
        <w:t xml:space="preserve"> </w:t>
      </w:r>
      <w:r>
        <w:rPr>
          <w:rStyle w:val="Hyperlink"/>
        </w:rPr>
        <w:t>Преходни условия</w:t>
      </w:r>
      <w:r>
        <w:tab/>
      </w:r>
      <w:r>
        <w:fldChar w:fldCharType="begin"/>
      </w:r>
      <w:r>
        <w:instrText xml:space="preserve"> PAGEREF _Toc256000252 \h </w:instrText>
      </w:r>
      <w:r>
        <w:fldChar w:fldCharType="separate"/>
      </w:r>
      <w:r>
        <w:t>798</w:t>
      </w:r>
      <w:r>
        <w:fldChar w:fldCharType="end"/>
      </w:r>
      <w:r>
        <w:fldChar w:fldCharType="end"/>
      </w:r>
    </w:p>
    <w:p>
      <w:pPr>
        <w:pStyle w:val="TOC2"/>
        <w:rPr>
          <w:rFonts w:ascii="Calibri" w:hAnsi="Calibri"/>
          <w:noProof/>
          <w:sz w:val="22"/>
        </w:rPr>
      </w:pPr>
      <w:r>
        <w:fldChar w:fldCharType="begin"/>
      </w:r>
      <w:r>
        <w:instrText xml:space="preserve"> HYPERLINK \l "_Toc256000253" </w:instrText>
      </w:r>
      <w:r>
        <w:fldChar w:fldCharType="separate"/>
      </w:r>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_Toc256000253 \h </w:instrText>
      </w:r>
      <w:r>
        <w:fldChar w:fldCharType="separate"/>
      </w:r>
      <w:r>
        <w:t>798</w:t>
      </w:r>
      <w:r>
        <w:fldChar w:fldCharType="end"/>
      </w:r>
      <w:r>
        <w:fldChar w:fldCharType="end"/>
      </w:r>
    </w:p>
    <w:p>
      <w:pPr>
        <w:pStyle w:val="TOC2"/>
        <w:rPr>
          <w:rFonts w:ascii="Calibri" w:hAnsi="Calibri"/>
          <w:noProof/>
          <w:sz w:val="22"/>
        </w:rPr>
      </w:pPr>
      <w:r>
        <w:fldChar w:fldCharType="begin"/>
      </w:r>
      <w:r>
        <w:instrText xml:space="preserve"> HYPERLINK \l "_Toc256000254" </w:instrText>
      </w:r>
      <w:r>
        <w:fldChar w:fldCharType="separate"/>
      </w:r>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_Toc256000254 \h </w:instrText>
      </w:r>
      <w:r>
        <w:fldChar w:fldCharType="separate"/>
      </w:r>
      <w:r>
        <w:t>800</w:t>
      </w:r>
      <w:r>
        <w:fldChar w:fldCharType="end"/>
      </w:r>
      <w:r>
        <w:fldChar w:fldCharType="end"/>
      </w:r>
    </w:p>
    <w:p>
      <w:pPr>
        <w:pStyle w:val="TOC1"/>
        <w:rPr>
          <w:rFonts w:ascii="Calibri" w:hAnsi="Calibri"/>
          <w:noProof/>
          <w:sz w:val="22"/>
        </w:rPr>
      </w:pPr>
      <w:r>
        <w:fldChar w:fldCharType="begin"/>
      </w:r>
      <w:r>
        <w:instrText xml:space="preserve"> HYPERLINK \l "_Toc256000255" </w:instrText>
      </w:r>
      <w:r>
        <w:fldChar w:fldCharType="separate"/>
      </w:r>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_Toc256000255 \h </w:instrText>
      </w:r>
      <w:r>
        <w:fldChar w:fldCharType="separate"/>
      </w:r>
      <w:r>
        <w:t>802</w:t>
      </w:r>
      <w:r>
        <w:fldChar w:fldCharType="end"/>
      </w:r>
      <w:r>
        <w:fldChar w:fldCharType="end"/>
      </w:r>
    </w:p>
    <w:p>
      <w:pPr>
        <w:pStyle w:val="TOC1"/>
        <w:rPr>
          <w:rFonts w:ascii="Calibri" w:hAnsi="Calibri"/>
          <w:noProof/>
          <w:sz w:val="22"/>
        </w:rPr>
      </w:pPr>
      <w:r>
        <w:fldChar w:fldCharType="begin"/>
      </w:r>
      <w:r>
        <w:instrText xml:space="preserve"> HYPERLINK \l "_Toc256000256" </w:instrText>
      </w:r>
      <w:r>
        <w:fldChar w:fldCharType="separate"/>
      </w:r>
      <w:r>
        <w:rPr>
          <w:rStyle w:val="Hyperlink"/>
        </w:rPr>
        <w:t>21.</w:t>
      </w:r>
      <w:r>
        <w:rPr>
          <w:rStyle w:val="Hyperlink"/>
        </w:rPr>
        <w:t xml:space="preserve"> </w:t>
      </w:r>
      <w:r>
        <w:rPr>
          <w:rStyle w:val="Hyperlink"/>
        </w:rPr>
        <w:t>Документи</w:t>
      </w:r>
      <w:r>
        <w:tab/>
      </w:r>
      <w:r>
        <w:fldChar w:fldCharType="begin"/>
      </w:r>
      <w:r>
        <w:instrText xml:space="preserve"> PAGEREF _Toc256000256 \h </w:instrText>
      </w:r>
      <w:r>
        <w:fldChar w:fldCharType="separate"/>
      </w:r>
      <w:r>
        <w:t>803</w:t>
      </w:r>
      <w:r>
        <w:fldChar w:fldCharType="end"/>
      </w:r>
      <w:r>
        <w:fldChar w:fldCharType="end"/>
      </w:r>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1"/>
      </w:pPr>
      <w:bookmarkStart w:id="1" w:name="_Toc256000001"/>
      <w:r>
        <w:t>Държава членка или административен район</w:t>
      </w:r>
      <w:bookmarkEnd w:id="1"/>
    </w:p>
    <w:p>
      <w:pPr>
        <w:pStyle w:val="Heading2"/>
      </w:pPr>
      <w:bookmarkStart w:id="2" w:name="_Toc256000002"/>
      <w:r>
        <w:t>Географски район, обхванат от програмата</w:t>
      </w:r>
      <w:bookmarkEnd w:id="2"/>
    </w:p>
    <w:p>
      <w: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BG - National</w:t>
            </w:r>
          </w:p>
        </w:tc>
      </w:tr>
    </w:tbl>
    <w:p>
      <w: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pPr>
          </w:p>
        </w:tc>
      </w:tr>
    </w:tbl>
    <w:p>
      <w:pPr>
        <w:pStyle w:val="Heading2"/>
      </w:pPr>
      <w:bookmarkStart w:id="3" w:name="_Toc256000003"/>
      <w:r>
        <w:t>Класификация на региона</w:t>
      </w:r>
      <w:bookmarkEnd w:id="3"/>
    </w:p>
    <w:p>
      <w: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pPr>
          </w:p>
        </w:tc>
      </w:tr>
    </w:tbl>
    <w:p>
      <w:pPr>
        <w:sectPr>
          <w:type w:val="oddPage"/>
          <w:pgMar w:top="900" w:right="900" w:bottom="900" w:left="900" w:header="720" w:footer="720"/>
          <w:cols w:space="720"/>
        </w:sectPr>
      </w:pPr>
    </w:p>
    <w:p>
      <w:pPr>
        <w:pStyle w:val="Heading1"/>
      </w:pPr>
      <w:bookmarkStart w:id="4" w:name="_Toc256000004"/>
      <w:r>
        <w:t>Предварителна оценка</w:t>
      </w:r>
      <w:bookmarkEnd w:id="4"/>
    </w:p>
    <w:p>
      <w:pPr>
        <w:pStyle w:val="Heading2"/>
      </w:pPr>
      <w:bookmarkStart w:id="5" w:name="_Toc256000005"/>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 са следните дейности по предварителната оценка:</w:t>
            </w:r>
          </w:p>
          <w:p>
            <w:pPr>
              <w:numPr>
                <w:ilvl w:val="0"/>
                <w:numId w:val="2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 в тематичната работна група (ТРГ) по ПРСР, 10.02.2014 г.</w:t>
            </w:r>
          </w:p>
          <w:p>
            <w:pPr>
              <w:numPr>
                <w:ilvl w:val="0"/>
                <w:numId w:val="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Style w:val="DefaultParagraphFont"/>
                <w:rFonts w:ascii="Times New Roman" w:eastAsia="Times New Roman" w:hAnsi="Times New Roman" w:cs="Times New Roman"/>
                <w:i/>
                <w:iCs/>
                <w:szCs w:val="24"/>
              </w:rPr>
              <w:t>предварителната</w:t>
            </w:r>
            <w:r>
              <w:rPr>
                <w:rStyle w:val="DefaultParagraphFont"/>
                <w:rFonts w:ascii="Times New Roman" w:eastAsia="Times New Roman" w:hAnsi="Times New Roman" w:cs="Times New Roman"/>
                <w:szCs w:val="24"/>
              </w:rPr>
              <w:t xml:space="preserve"> оценка.</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 xml:space="preserve">Официално подаване на завършения Доклад за предварителна оценка, </w:t>
            </w:r>
            <w:r>
              <w:rPr>
                <w:rStyle w:val="DefaultParagraphFont"/>
                <w:rFonts w:ascii="Times New Roman" w:eastAsia="Times New Roman" w:hAnsi="Times New Roman" w:cs="Times New Roman"/>
                <w:szCs w:val="24"/>
              </w:rPr>
              <w:t>23 май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Style w:val="DefaultParagraphFont"/>
                <w:rFonts w:ascii="Times New Roman" w:eastAsia="Times New Roman" w:hAnsi="Times New Roman" w:cs="Times New Roman"/>
                <w:i/>
                <w:iCs/>
                <w:szCs w:val="24"/>
              </w:rPr>
              <w:t>предварителната</w:t>
            </w:r>
            <w:r>
              <w:rPr>
                <w:rStyle w:val="DefaultParagraphFont"/>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Style w:val="DefaultParagraphFont"/>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Style w:val="DefaultParagraphFont"/>
                <w:rFonts w:ascii="Times New Roman" w:eastAsia="Times New Roman" w:hAnsi="Times New Roman" w:cs="Times New Roman"/>
                <w:szCs w:val="24"/>
              </w:rPr>
              <w:t xml:space="preserve">Разработени бяха: </w:t>
            </w:r>
            <w:r>
              <w:rPr>
                <w:rStyle w:val="DefaultParagraphFont"/>
                <w:rFonts w:ascii="Times New Roman" w:eastAsia="Times New Roman" w:hAnsi="Times New Roman" w:cs="Times New Roman"/>
                <w:i/>
                <w:iCs/>
                <w:szCs w:val="24"/>
              </w:rPr>
              <w:t xml:space="preserve">Искане </w:t>
            </w:r>
            <w:r>
              <w:rPr>
                <w:rStyle w:val="DefaultParagraphFont"/>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Style w:val="DefaultParagraphFont"/>
                <w:rFonts w:ascii="Times New Roman" w:eastAsia="Times New Roman" w:hAnsi="Times New Roman" w:cs="Times New Roman"/>
                <w:i/>
                <w:iCs/>
                <w:szCs w:val="24"/>
              </w:rPr>
              <w:t>Задание</w:t>
            </w:r>
            <w:r>
              <w:rPr>
                <w:rStyle w:val="DefaultParagraphFont"/>
                <w:rFonts w:ascii="Times New Roman" w:eastAsia="Times New Roman" w:hAnsi="Times New Roman" w:cs="Times New Roman"/>
                <w:szCs w:val="24"/>
              </w:rPr>
              <w:t xml:space="preserve"> за обхват и съдържание на СЕО на ПРСР (2014-2020) и </w:t>
            </w:r>
            <w:r>
              <w:rPr>
                <w:rStyle w:val="DefaultParagraphFont"/>
                <w:rFonts w:ascii="Times New Roman" w:eastAsia="Times New Roman" w:hAnsi="Times New Roman" w:cs="Times New Roman"/>
                <w:i/>
                <w:iCs/>
                <w:szCs w:val="24"/>
              </w:rPr>
              <w:t>Схема</w:t>
            </w:r>
            <w:r>
              <w:rPr>
                <w:rStyle w:val="DefaultParagraphFont"/>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6" w:name="_Toc256000006"/>
      <w:r>
        <w:t>Структурирана таблица, съдържаща препоръките от предварителната оценка и информация за начина, по който те са взети предвид.</w:t>
      </w:r>
      <w:bookmarkEnd w:id="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403"/>
        <w:gridCol w:w="4688"/>
        <w:gridCol w:w="1329"/>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tcPr>
          <w:p>
            <w:pPr>
              <w:rPr>
                <w:b/>
              </w:rPr>
            </w:pPr>
            <w:r>
              <w:rPr>
                <w:b/>
              </w:rPr>
              <w:t>Наименование (или референтен номер) на препоръката</w:t>
            </w:r>
          </w:p>
        </w:tc>
        <w:tc>
          <w:tcPr>
            <w:shd w:val="clear" w:color="auto" w:fill="C0C0C0"/>
          </w:tcPr>
          <w:p>
            <w:pPr>
              <w:rPr>
                <w:b/>
              </w:rPr>
            </w:pPr>
            <w:r>
              <w:rPr>
                <w:b/>
              </w:rPr>
              <w:t>Категория на препоръката</w:t>
            </w:r>
          </w:p>
        </w:tc>
        <w:tc>
          <w:tcPr>
            <w:shd w:val="clear" w:color="auto" w:fill="C0C0C0"/>
          </w:tcPr>
          <w:p>
            <w:pPr>
              <w:rPr>
                <w:b w:val="0"/>
              </w:rPr>
            </w:pPr>
            <w:r>
              <w:rPr>
                <w:b/>
              </w:rPr>
              <w:t>Дата</w:t>
            </w:r>
          </w:p>
        </w:tc>
      </w:tr>
      <w:tr>
        <w:tblPrEx>
          <w:tblW w:w="5000" w:type="pct"/>
          <w:tblCellMar>
            <w:left w:w="108" w:type="dxa"/>
            <w:right w:w="108" w:type="dxa"/>
          </w:tblCellMar>
        </w:tblPrEx>
        <w:tc>
          <w:tcPr>
            <w:shd w:val="clear" w:color="auto" w:fill="FFFFFF"/>
          </w:tcPr>
          <w:p>
            <w:pPr>
              <w:rPr>
                <w:b w:val="0"/>
              </w:rPr>
            </w:pPr>
            <w:r>
              <w:rPr>
                <w:b w:val="0"/>
              </w:rPr>
              <w:t>1.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2.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3.АНС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4.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5.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6.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7.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8.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9.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А. SWOT Aнализ</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Б. Потребности</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В. Стратегия 1</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Г. Стратегия 2</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Д. Стратегия 3</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Е. Специфични цели</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Ж. Финансови средства 1</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З. Финансови средства 2</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И. Финансови средства 3</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Й. Административни ресурси</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К. Обучение на персонала</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Л. Тематична подпрограма за малки стопанства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М. План за оценка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Н. Комуникация</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О. Участие на заинтересованите страни</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bl>
    <w:p>
      <w:pPr>
        <w:rPr>
          <w:b/>
        </w:rPr>
      </w:pPr>
    </w:p>
    <w:p>
      <w:pPr>
        <w:pStyle w:val="Heading3"/>
        <w:jc w:val="left"/>
        <w:rPr>
          <w:b w:val="0"/>
        </w:rPr>
      </w:pPr>
      <w:bookmarkStart w:id="7" w:name="_Toc256000007"/>
      <w:r>
        <w:rPr>
          <w:b w:val="0"/>
        </w:rPr>
        <w:t>1. АНС</w:t>
      </w:r>
      <w:bookmarkEnd w:id="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8" w:name="_Toc256000008"/>
      <w:r>
        <w:rPr>
          <w:b w:val="0"/>
        </w:rPr>
        <w:t>2. АНС</w:t>
      </w:r>
      <w:bookmarkEnd w:id="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9" w:name="_Toc256000009"/>
      <w:r>
        <w:rPr>
          <w:b w:val="0"/>
        </w:rPr>
        <w:t>3.АНС</w:t>
      </w:r>
      <w:bookmarkEnd w:id="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се приема частично.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0" w:name="_Toc256000010"/>
      <w:r>
        <w:rPr>
          <w:b w:val="0"/>
        </w:rPr>
        <w:t>4. АНС</w:t>
      </w:r>
      <w:bookmarkEnd w:id="1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1" w:name="_Toc256000011"/>
      <w:r>
        <w:rPr>
          <w:b w:val="0"/>
        </w:rPr>
        <w:t>5. АНС</w:t>
      </w:r>
      <w:bookmarkEnd w:id="1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2" w:name="_Toc256000012"/>
      <w:r>
        <w:rPr>
          <w:b w:val="0"/>
        </w:rPr>
        <w:t>6. АНС</w:t>
      </w:r>
      <w:bookmarkEnd w:id="1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3" w:name="_Toc256000013"/>
      <w:r>
        <w:rPr>
          <w:b w:val="0"/>
        </w:rPr>
        <w:t>7.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14" w:name="_Toc256000014"/>
      <w:r>
        <w:rPr>
          <w:b w:val="0"/>
        </w:rPr>
        <w:t>8.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15" w:name="_Toc256000015"/>
      <w:r>
        <w:rPr>
          <w:b w:val="0"/>
        </w:rPr>
        <w:t>9. 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16" w:name="_Toc256000016"/>
      <w:r>
        <w:rPr>
          <w:b w:val="0"/>
        </w:rPr>
        <w:t>А. SWOT Aнализ</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7" w:name="_Toc256000017"/>
      <w:r>
        <w:rPr>
          <w:b w:val="0"/>
        </w:rPr>
        <w:t>Б. Потребности</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8" w:name="_Toc256000018"/>
      <w:r>
        <w:rPr>
          <w:b w:val="0"/>
        </w:rPr>
        <w:t>В. Стратегия 1</w:t>
      </w:r>
      <w:bookmarkEnd w:id="18"/>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19" w:name="_Toc256000019"/>
      <w:r>
        <w:rPr>
          <w:b w:val="0"/>
        </w:rPr>
        <w:t>Г. Стратегия 2</w:t>
      </w:r>
      <w:bookmarkEnd w:id="19"/>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0" w:name="_Toc256000020"/>
      <w:r>
        <w:rPr>
          <w:b w:val="0"/>
        </w:rPr>
        <w:t>Д. Стратегия 3</w:t>
      </w:r>
      <w:bookmarkEnd w:id="20"/>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1" w:name="_Toc256000021"/>
      <w:r>
        <w:rPr>
          <w:b w:val="0"/>
        </w:rPr>
        <w:t>Е. Специфични цели</w:t>
      </w:r>
      <w:bookmarkEnd w:id="21"/>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2" w:name="_Toc256000022"/>
      <w:r>
        <w:rPr>
          <w:b w:val="0"/>
        </w:rPr>
        <w:t>Ж. Финансови средства 1</w:t>
      </w:r>
      <w:bookmarkEnd w:id="22"/>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3" w:name="_Toc256000023"/>
      <w:r>
        <w:rPr>
          <w:b w:val="0"/>
        </w:rPr>
        <w:t>З. Финансови средства 2</w:t>
      </w:r>
      <w:bookmarkEnd w:id="23"/>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24" w:name="_Toc256000024"/>
      <w:r>
        <w:rPr>
          <w:b w:val="0"/>
        </w:rPr>
        <w:t>И. Финансови средства 3</w:t>
      </w:r>
      <w:bookmarkEnd w:id="24"/>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25" w:name="_Toc256000025"/>
      <w:r>
        <w:rPr>
          <w:b w:val="0"/>
        </w:rPr>
        <w:t>Й. Административни ресурси</w:t>
      </w:r>
      <w:bookmarkEnd w:id="25"/>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26" w:name="_Toc256000026"/>
      <w:r>
        <w:rPr>
          <w:b w:val="0"/>
        </w:rPr>
        <w:t>К. Обучение на персонала</w:t>
      </w:r>
      <w:bookmarkEnd w:id="26"/>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27" w:name="_Toc256000027"/>
      <w:r>
        <w:rPr>
          <w:b w:val="0"/>
        </w:rPr>
        <w:t>Л. Тематична подпрограма за малки стопанства</w:t>
      </w:r>
      <w:bookmarkEnd w:id="27"/>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28" w:name="_Toc256000028"/>
      <w:r>
        <w:rPr>
          <w:b w:val="0"/>
        </w:rPr>
        <w:t>М. План за оценка</w:t>
      </w:r>
      <w:bookmarkEnd w:id="28"/>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29" w:name="_Toc256000029"/>
      <w:r>
        <w:rPr>
          <w:b w:val="0"/>
        </w:rPr>
        <w:t>Н. Комуникация</w:t>
      </w:r>
      <w:bookmarkEnd w:id="29"/>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0" w:name="_Toc256000030"/>
      <w:r>
        <w:rPr>
          <w:b w:val="0"/>
        </w:rPr>
        <w:t>О. Участие на заинтересованите страни</w:t>
      </w:r>
      <w:bookmarkEnd w:id="30"/>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1" w:name="_Toc256000031"/>
      <w:r>
        <w:rPr>
          <w:b w:val="0"/>
        </w:rPr>
        <w:t>Доклад от предварителната оценка</w:t>
      </w:r>
      <w:bookmarkEnd w:id="31"/>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32" w:name="_Toc256000032"/>
      <w:r>
        <w:t>SWOT и установяване на потребностите</w:t>
      </w:r>
      <w:bookmarkEnd w:id="32"/>
    </w:p>
    <w:p>
      <w:pPr>
        <w:pStyle w:val="Heading2"/>
      </w:pPr>
      <w:bookmarkStart w:id="33" w:name="_Toc256000033"/>
      <w:r>
        <w:t>SWOT</w:t>
      </w:r>
      <w:bookmarkEnd w:id="33"/>
    </w:p>
    <w:p>
      <w:pPr>
        <w:pStyle w:val="Heading3"/>
        <w:jc w:val="left"/>
        <w:rPr>
          <w:b w:val="0"/>
        </w:rPr>
      </w:pPr>
      <w:bookmarkStart w:id="34" w:name="_Toc256000034"/>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3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Селските територии имат голям потенциал за развитие на </w:t>
            </w:r>
            <w:r>
              <w:rPr>
                <w:rStyle w:val="DefaultParagraphFont"/>
                <w:rFonts w:ascii="Times New Roman" w:eastAsia="Times New Roman" w:hAnsi="Times New Roman" w:cs="Times New Roman"/>
                <w:i/>
                <w:iCs/>
                <w:szCs w:val="24"/>
              </w:rPr>
              <w:t>устойчив туризъм</w:t>
            </w:r>
            <w:r>
              <w:rPr>
                <w:rStyle w:val="DefaultParagraphFont"/>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БДС, създадена в </w:t>
            </w:r>
            <w:r>
              <w:rPr>
                <w:rStyle w:val="DefaultParagraphFont"/>
                <w:rFonts w:ascii="Times New Roman" w:eastAsia="Times New Roman" w:hAnsi="Times New Roman" w:cs="Times New Roman"/>
                <w:i/>
                <w:iCs/>
                <w:szCs w:val="24"/>
              </w:rPr>
              <w:t>селското стопанство</w:t>
            </w:r>
            <w:r>
              <w:rPr>
                <w:rStyle w:val="DefaultParagraphFont"/>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w:t>
            </w:r>
            <w:r>
              <w:rPr>
                <w:rStyle w:val="DefaultParagraphFont"/>
                <w:rFonts w:ascii="Times New Roman" w:eastAsia="Times New Roman" w:hAnsi="Times New Roman" w:cs="Times New Roman"/>
                <w:i/>
                <w:iCs/>
                <w:szCs w:val="24"/>
              </w:rPr>
              <w:t>използваната земеделска площ</w:t>
            </w:r>
            <w:r>
              <w:rPr>
                <w:rStyle w:val="DefaultParagraphFont"/>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данни от преброяването през 2010 г., </w:t>
            </w:r>
            <w:r>
              <w:rPr>
                <w:rStyle w:val="DefaultParagraphFont"/>
                <w:rFonts w:ascii="Times New Roman" w:eastAsia="Times New Roman" w:hAnsi="Times New Roman" w:cs="Times New Roman"/>
                <w:i/>
                <w:iCs/>
                <w:szCs w:val="24"/>
              </w:rPr>
              <w:t>броят на земеделските стопанства</w:t>
            </w:r>
            <w:r>
              <w:rPr>
                <w:rStyle w:val="DefaultParagraphFont"/>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2010 г. постоянната </w:t>
            </w:r>
            <w:r>
              <w:rPr>
                <w:rStyle w:val="DefaultParagraphFont"/>
                <w:rFonts w:ascii="Times New Roman" w:eastAsia="Times New Roman" w:hAnsi="Times New Roman" w:cs="Times New Roman"/>
                <w:i/>
                <w:iCs/>
                <w:szCs w:val="24"/>
              </w:rPr>
              <w:t>работна сила в земеделието</w:t>
            </w:r>
            <w:r>
              <w:rPr>
                <w:rStyle w:val="DefaultParagraphFont"/>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периода 2007-2012 г. се наблюдават значителни промени в </w:t>
            </w:r>
            <w:r>
              <w:rPr>
                <w:rStyle w:val="DefaultParagraphFont"/>
                <w:rFonts w:ascii="Times New Roman" w:eastAsia="Times New Roman" w:hAnsi="Times New Roman" w:cs="Times New Roman"/>
                <w:i/>
                <w:iCs/>
                <w:szCs w:val="24"/>
              </w:rPr>
              <w:t>отрасловата структура на земеделието</w:t>
            </w:r>
            <w:r>
              <w:rPr>
                <w:rStyle w:val="DefaultParagraphFont"/>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w:t>
            </w:r>
            <w:r>
              <w:rPr>
                <w:rStyle w:val="DefaultParagraphFont"/>
                <w:rFonts w:ascii="Times New Roman" w:eastAsia="Times New Roman" w:hAnsi="Times New Roman" w:cs="Times New Roman"/>
                <w:i/>
                <w:iCs/>
                <w:szCs w:val="24"/>
              </w:rPr>
              <w:t xml:space="preserve">бруто образуването на основен капитал </w:t>
            </w:r>
            <w:r>
              <w:rPr>
                <w:rStyle w:val="DefaultParagraphFont"/>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Проучванията показват, че </w:t>
            </w:r>
            <w:r>
              <w:rPr>
                <w:rStyle w:val="DefaultParagraphFont"/>
                <w:rFonts w:ascii="Times New Roman" w:eastAsia="Times New Roman" w:hAnsi="Times New Roman" w:cs="Times New Roman"/>
                <w:i/>
                <w:iCs/>
                <w:szCs w:val="24"/>
              </w:rPr>
              <w:t>инвестициите в нови продукти и технологии</w:t>
            </w:r>
            <w:r>
              <w:rPr>
                <w:rStyle w:val="DefaultParagraphFont"/>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България има слаби хоризонтални и вертикални връзки в </w:t>
            </w:r>
            <w:r>
              <w:rPr>
                <w:rStyle w:val="DefaultParagraphFont"/>
                <w:rFonts w:ascii="Times New Roman" w:eastAsia="Times New Roman" w:hAnsi="Times New Roman" w:cs="Times New Roman"/>
                <w:i/>
                <w:iCs/>
                <w:szCs w:val="24"/>
              </w:rPr>
              <w:t>хранителната верига</w:t>
            </w:r>
            <w:r>
              <w:rPr>
                <w:rStyle w:val="DefaultParagraphFont"/>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2012 г</w:t>
            </w:r>
            <w:r>
              <w:rPr>
                <w:rStyle w:val="DefaultParagraphFont"/>
                <w:rFonts w:ascii="Times New Roman" w:eastAsia="Times New Roman" w:hAnsi="Times New Roman" w:cs="Times New Roman"/>
                <w:i/>
                <w:iCs/>
                <w:szCs w:val="24"/>
              </w:rPr>
              <w:t xml:space="preserve">. </w:t>
            </w:r>
            <w:r>
              <w:rPr>
                <w:rStyle w:val="DefaultParagraphFont"/>
                <w:rFonts w:ascii="Times New Roman" w:eastAsia="Times New Roman" w:hAnsi="Times New Roman" w:cs="Times New Roman"/>
                <w:szCs w:val="24"/>
              </w:rPr>
              <w:t>БДС на</w:t>
            </w:r>
            <w:r>
              <w:rPr>
                <w:rStyle w:val="DefaultParagraphFont"/>
                <w:rFonts w:ascii="Times New Roman" w:eastAsia="Times New Roman" w:hAnsi="Times New Roman" w:cs="Times New Roman"/>
                <w:i/>
                <w:iCs/>
                <w:szCs w:val="24"/>
              </w:rPr>
              <w:t xml:space="preserve"> хранително-вкусовата промишленост</w:t>
            </w:r>
            <w:r>
              <w:rPr>
                <w:rStyle w:val="DefaultParagraphFont"/>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периода 2007-2012 г. </w:t>
            </w:r>
            <w:r>
              <w:rPr>
                <w:rStyle w:val="DefaultParagraphFont"/>
                <w:rFonts w:ascii="Times New Roman" w:eastAsia="Times New Roman" w:hAnsi="Times New Roman" w:cs="Times New Roman"/>
                <w:i/>
                <w:iCs/>
                <w:szCs w:val="24"/>
              </w:rPr>
              <w:t>външнотърговския оборот</w:t>
            </w:r>
            <w:r>
              <w:rPr>
                <w:rStyle w:val="DefaultParagraphFont"/>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България разполага със значителен потенциал за осъществяване на </w:t>
            </w:r>
            <w:r>
              <w:rPr>
                <w:rStyle w:val="DefaultParagraphFont"/>
                <w:rFonts w:ascii="Times New Roman" w:eastAsia="Times New Roman" w:hAnsi="Times New Roman" w:cs="Times New Roman"/>
                <w:i/>
                <w:iCs/>
                <w:szCs w:val="24"/>
              </w:rPr>
              <w:t>научно-изследователска и развойна дейност</w:t>
            </w:r>
            <w:r>
              <w:rPr>
                <w:rStyle w:val="DefaultParagraphFont"/>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Горските територии</w:t>
            </w:r>
            <w:r>
              <w:rPr>
                <w:rStyle w:val="DefaultParagraphFont"/>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БДС в </w:t>
            </w:r>
            <w:r>
              <w:rPr>
                <w:rStyle w:val="DefaultParagraphFont"/>
                <w:rFonts w:ascii="Times New Roman" w:eastAsia="Times New Roman" w:hAnsi="Times New Roman" w:cs="Times New Roman"/>
                <w:i/>
                <w:iCs/>
                <w:szCs w:val="24"/>
              </w:rPr>
              <w:t>горското стопанство и дърводобива</w:t>
            </w:r>
            <w:r>
              <w:rPr>
                <w:rStyle w:val="DefaultParagraphFont"/>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Общият брой на промишлените предприятията за </w:t>
            </w:r>
            <w:r>
              <w:rPr>
                <w:rStyle w:val="DefaultParagraphFont"/>
                <w:rFonts w:ascii="Times New Roman" w:eastAsia="Times New Roman" w:hAnsi="Times New Roman" w:cs="Times New Roman"/>
                <w:i/>
                <w:iCs/>
                <w:szCs w:val="24"/>
              </w:rPr>
              <w:t>производство на дървен материал и изделия от него</w:t>
            </w:r>
            <w:r>
              <w:rPr>
                <w:rStyle w:val="DefaultParagraphFont"/>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Околна среда/климат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Style w:val="DefaultParagraphFont"/>
                <w:rFonts w:ascii="Times New Roman" w:eastAsia="Times New Roman" w:hAnsi="Times New Roman" w:cs="Times New Roman"/>
                <w:i/>
                <w:iCs/>
                <w:szCs w:val="24"/>
              </w:rPr>
              <w:t>биоразнообразие</w:t>
            </w:r>
            <w:r>
              <w:rPr>
                <w:rStyle w:val="DefaultParagraphFont"/>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Общата площ на физическите блокове обработваемите земи с потенциално </w:t>
            </w:r>
            <w:r>
              <w:rPr>
                <w:rStyle w:val="DefaultParagraphFont"/>
                <w:rFonts w:ascii="Times New Roman" w:eastAsia="Times New Roman" w:hAnsi="Times New Roman" w:cs="Times New Roman"/>
                <w:i/>
                <w:iCs/>
                <w:szCs w:val="24"/>
              </w:rPr>
              <w:t xml:space="preserve">ВПС </w:t>
            </w:r>
            <w:r>
              <w:rPr>
                <w:rStyle w:val="DefaultParagraphFont"/>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България се отличава с относително значими пресни </w:t>
            </w:r>
            <w:r>
              <w:rPr>
                <w:rStyle w:val="DefaultParagraphFont"/>
                <w:rFonts w:ascii="Times New Roman" w:eastAsia="Times New Roman" w:hAnsi="Times New Roman" w:cs="Times New Roman"/>
                <w:i/>
                <w:iCs/>
                <w:szCs w:val="24"/>
              </w:rPr>
              <w:t>водни ресурси</w:t>
            </w:r>
            <w:r>
              <w:rPr>
                <w:rStyle w:val="DefaultParagraphFont"/>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Общата площ на </w:t>
            </w:r>
            <w:r>
              <w:rPr>
                <w:rStyle w:val="DefaultParagraphFont"/>
                <w:rFonts w:ascii="Times New Roman" w:eastAsia="Times New Roman" w:hAnsi="Times New Roman" w:cs="Times New Roman"/>
                <w:i/>
                <w:iCs/>
                <w:szCs w:val="24"/>
              </w:rPr>
              <w:t>нитратно уязвимите зони</w:t>
            </w:r>
            <w:r>
              <w:rPr>
                <w:rStyle w:val="DefaultParagraphFont"/>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Значителна част от </w:t>
            </w:r>
            <w:r>
              <w:rPr>
                <w:rStyle w:val="DefaultParagraphFont"/>
                <w:rFonts w:ascii="Times New Roman" w:eastAsia="Times New Roman" w:hAnsi="Times New Roman" w:cs="Times New Roman"/>
                <w:i/>
                <w:iCs/>
                <w:szCs w:val="24"/>
              </w:rPr>
              <w:t>почвите</w:t>
            </w:r>
            <w:r>
              <w:rPr>
                <w:rStyle w:val="DefaultParagraphFont"/>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w:t>
            </w:r>
            <w:r>
              <w:rPr>
                <w:rStyle w:val="DefaultParagraphFont"/>
                <w:rFonts w:ascii="Times New Roman" w:eastAsia="Times New Roman" w:hAnsi="Times New Roman" w:cs="Times New Roman"/>
                <w:i/>
                <w:iCs/>
                <w:szCs w:val="24"/>
              </w:rPr>
              <w:t>емисиите парникови газове</w:t>
            </w:r>
            <w:r>
              <w:rPr>
                <w:rStyle w:val="DefaultParagraphFont"/>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Поглъщането на парникови газове</w:t>
            </w:r>
            <w:r>
              <w:rPr>
                <w:rStyle w:val="DefaultParagraphFont"/>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Необлагодетелстваните райони</w:t>
            </w:r>
            <w:r>
              <w:rPr>
                <w:rStyle w:val="DefaultParagraphFont"/>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края на 2011 г. делът на произведената </w:t>
            </w:r>
            <w:r>
              <w:rPr>
                <w:rStyle w:val="DefaultParagraphFont"/>
                <w:rFonts w:ascii="Times New Roman" w:eastAsia="Times New Roman" w:hAnsi="Times New Roman" w:cs="Times New Roman"/>
                <w:i/>
                <w:iCs/>
                <w:szCs w:val="24"/>
              </w:rPr>
              <w:t>енергия от възобновяеми източници</w:t>
            </w:r>
            <w:r>
              <w:rPr>
                <w:rStyle w:val="DefaultParagraphFont"/>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Горите със защитни и специални функции</w:t>
            </w:r>
            <w:r>
              <w:rPr>
                <w:rStyle w:val="DefaultParagraphFont"/>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Приложение 35 е даден подробен социално-икономически анализ.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35" w:name="_Toc256000035"/>
      <w:r>
        <w:rPr>
          <w:b w:val="0"/>
        </w:rPr>
        <w:t>Силни страни, установени в програмния район</w:t>
      </w:r>
      <w:bookmarkEnd w:id="3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Околна среда/климат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Инвентаризирани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36" w:name="_Toc256000036"/>
      <w:r>
        <w:rPr>
          <w:b w:val="0"/>
        </w:rPr>
        <w:t>Слаби страни в програмния район</w:t>
      </w:r>
      <w:bookmarkEnd w:id="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Поляризирана структура на стопанствата;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Неразвити механизми за управление на риска;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Околна среда/климат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Монокултурни производствени модели;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37" w:name="_Toc256000037"/>
      <w:r>
        <w:rPr>
          <w:b w:val="0"/>
        </w:rPr>
        <w:t>Възможности, установени в програмния район</w:t>
      </w:r>
      <w:bookmarkEnd w:id="3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екосистемните услуги;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38" w:name="_Toc256000038"/>
      <w:r>
        <w:rPr>
          <w:b w:val="0"/>
        </w:rPr>
        <w:t>Заплахи в програмния район</w:t>
      </w:r>
      <w:bookmarkEnd w:id="3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numPr>
                <w:ilvl w:val="0"/>
                <w:numId w:val="22"/>
              </w:numPr>
              <w:spacing w:before="0" w:after="240"/>
              <w:ind w:left="1440" w:hanging="93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39" w:name="_Toc256000039"/>
      <w:r>
        <w:rPr>
          <w:b w:val="0"/>
        </w:rPr>
        <w:t>Общи показатели за контекста</w:t>
      </w:r>
      <w:bookmarkEnd w:id="3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837"/>
        <w:gridCol w:w="977"/>
        <w:gridCol w:w="4775"/>
        <w:gridCol w:w="81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4"/>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6497"/>
        <w:gridCol w:w="905"/>
        <w:gridCol w:w="2246"/>
        <w:gridCol w:w="75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4"/>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4626"/>
        <w:gridCol w:w="905"/>
        <w:gridCol w:w="3882"/>
        <w:gridCol w:w="988"/>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4"/>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r>
      <w:tr>
        <w:tblPrEx>
          <w:tblW w:w="5000" w:type="pct"/>
          <w:tblCellMar>
            <w:left w:w="108" w:type="dxa"/>
            <w:right w:w="108" w:type="dxa"/>
          </w:tblCellMar>
        </w:tblPrEx>
        <w:tc>
          <w:tcPr>
            <w:gridSpan w:val="4"/>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r>
    </w:tbl>
    <w:p>
      <w:pPr>
        <w:rPr>
          <w:b w:val="0"/>
          <w:i w:val="0"/>
        </w:rPr>
        <w:sectPr>
          <w:pgMar w:top="900" w:right="900" w:bottom="900" w:left="900" w:header="720" w:footer="720"/>
          <w:cols w:space="720"/>
        </w:sectPr>
      </w:pPr>
    </w:p>
    <w:p>
      <w:pPr>
        <w:pStyle w:val="Heading3"/>
        <w:jc w:val="left"/>
        <w:rPr>
          <w:b w:val="0"/>
          <w:i w:val="0"/>
        </w:rPr>
      </w:pPr>
      <w:bookmarkStart w:id="40" w:name="_Toc256000040"/>
      <w:r>
        <w:rPr>
          <w:b w:val="0"/>
          <w:i w:val="0"/>
        </w:rPr>
        <w:t>Специфични за програмата показатели за контекста</w:t>
      </w:r>
      <w:bookmarkEnd w:id="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33"/>
        <w:gridCol w:w="932"/>
        <w:gridCol w:w="2779"/>
        <w:gridCol w:w="1635"/>
        <w:gridCol w:w="2388"/>
        <w:gridCol w:w="13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shd w:val="clear" w:color="auto" w:fill="C0C0C0"/>
            <w:noWrap w:val="0"/>
            <w:tcMar>
              <w:top w:w="20" w:type="dxa"/>
              <w:bottom w:w="20" w:type="dxa"/>
            </w:tcMar>
            <w:vAlign w:val="center"/>
          </w:tcPr>
          <w:p>
            <w:pPr>
              <w:jc w:val="center"/>
              <w:rPr>
                <w:b w:val="0"/>
                <w:i w:val="0"/>
                <w:sz w:val="16"/>
              </w:rPr>
            </w:pPr>
            <w:r>
              <w:rPr>
                <w:b w:val="0"/>
                <w:i w:val="0"/>
                <w:sz w:val="16"/>
              </w:rPr>
              <w:t>Код</w:t>
            </w:r>
          </w:p>
        </w:tc>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1" w:name="_Toc256000041"/>
      <w:r>
        <w:t>Оценка на потребностите</w:t>
      </w:r>
      <w:bookmarkEnd w:id="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46"/>
        <w:gridCol w:w="432"/>
        <w:gridCol w:w="423"/>
        <w:gridCol w:w="423"/>
        <w:gridCol w:w="432"/>
        <w:gridCol w:w="423"/>
        <w:gridCol w:w="513"/>
        <w:gridCol w:w="432"/>
        <w:gridCol w:w="423"/>
        <w:gridCol w:w="432"/>
        <w:gridCol w:w="423"/>
        <w:gridCol w:w="423"/>
        <w:gridCol w:w="432"/>
        <w:gridCol w:w="423"/>
        <w:gridCol w:w="423"/>
        <w:gridCol w:w="432"/>
        <w:gridCol w:w="414"/>
        <w:gridCol w:w="432"/>
        <w:gridCol w:w="423"/>
        <w:gridCol w:w="423"/>
        <w:gridCol w:w="746"/>
        <w:gridCol w:w="1333"/>
        <w:gridCol w:w="9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gridSpan w:val="3"/>
            <w:shd w:val="clear" w:color="auto" w:fill="808080"/>
            <w:noWrap w:val="0"/>
            <w:tcMar>
              <w:top w:w="20" w:type="dxa"/>
              <w:bottom w:w="20" w:type="dxa"/>
            </w:tcMar>
            <w:vAlign w:val="center"/>
          </w:tcPr>
          <w:p>
            <w:pPr>
              <w:jc w:val="center"/>
              <w:rPr>
                <w:b/>
                <w:sz w:val="20"/>
              </w:rPr>
            </w:pPr>
            <w:r>
              <w:rPr>
                <w:b/>
                <w:sz w:val="20"/>
              </w:rPr>
              <w:t>P1</w:t>
            </w:r>
          </w:p>
        </w:tc>
        <w:tc>
          <w:tcPr>
            <w:gridSpan w:val="3"/>
            <w:shd w:val="clear" w:color="auto" w:fill="808080"/>
            <w:noWrap w:val="0"/>
            <w:tcMar>
              <w:top w:w="20" w:type="dxa"/>
              <w:bottom w:w="20" w:type="dxa"/>
            </w:tcMar>
            <w:vAlign w:val="center"/>
          </w:tcPr>
          <w:p>
            <w:pPr>
              <w:jc w:val="center"/>
              <w:rPr>
                <w:b/>
                <w:sz w:val="20"/>
              </w:rPr>
            </w:pPr>
            <w:r>
              <w:rPr>
                <w:b/>
                <w:sz w:val="20"/>
              </w:rPr>
              <w:t>P2</w:t>
            </w:r>
          </w:p>
        </w:tc>
        <w:tc>
          <w:tcPr>
            <w:gridSpan w:val="2"/>
            <w:shd w:val="clear" w:color="auto" w:fill="808080"/>
            <w:noWrap w:val="0"/>
            <w:tcMar>
              <w:top w:w="20" w:type="dxa"/>
              <w:bottom w:w="20" w:type="dxa"/>
            </w:tcMar>
            <w:vAlign w:val="center"/>
          </w:tcPr>
          <w:p>
            <w:pPr>
              <w:jc w:val="center"/>
              <w:rPr>
                <w:b/>
                <w:sz w:val="20"/>
              </w:rPr>
            </w:pPr>
            <w:r>
              <w:rPr>
                <w:b/>
                <w:sz w:val="20"/>
              </w:rPr>
              <w:t>P3</w:t>
            </w:r>
          </w:p>
        </w:tc>
        <w:tc>
          <w:tcPr>
            <w:gridSpan w:val="3"/>
            <w:shd w:val="clear" w:color="auto" w:fill="808080"/>
            <w:noWrap w:val="0"/>
            <w:tcMar>
              <w:top w:w="20" w:type="dxa"/>
              <w:bottom w:w="20" w:type="dxa"/>
            </w:tcMar>
            <w:vAlign w:val="center"/>
          </w:tcPr>
          <w:p>
            <w:pPr>
              <w:jc w:val="center"/>
              <w:rPr>
                <w:b/>
                <w:sz w:val="20"/>
              </w:rPr>
            </w:pPr>
            <w:r>
              <w:rPr>
                <w:b/>
                <w:sz w:val="20"/>
              </w:rPr>
              <w:t>P4</w:t>
            </w:r>
          </w:p>
        </w:tc>
        <w:tc>
          <w:tcPr>
            <w:gridSpan w:val="5"/>
            <w:shd w:val="clear" w:color="auto" w:fill="808080"/>
            <w:noWrap w:val="0"/>
            <w:tcMar>
              <w:top w:w="20" w:type="dxa"/>
              <w:bottom w:w="20" w:type="dxa"/>
            </w:tcMar>
            <w:vAlign w:val="center"/>
          </w:tcPr>
          <w:p>
            <w:pPr>
              <w:jc w:val="center"/>
              <w:rPr>
                <w:b/>
                <w:sz w:val="20"/>
              </w:rPr>
            </w:pPr>
            <w:r>
              <w:rPr>
                <w:b/>
                <w:sz w:val="20"/>
              </w:rPr>
              <w:t>P5</w:t>
            </w:r>
          </w:p>
        </w:tc>
        <w:tc>
          <w:tcPr>
            <w:gridSpan w:val="3"/>
            <w:shd w:val="clear" w:color="auto" w:fill="808080"/>
            <w:noWrap w:val="0"/>
            <w:tcMar>
              <w:top w:w="20" w:type="dxa"/>
              <w:bottom w:w="20" w:type="dxa"/>
            </w:tcMar>
            <w:vAlign w:val="center"/>
          </w:tcPr>
          <w:p>
            <w:pPr>
              <w:jc w:val="center"/>
              <w:rPr>
                <w:b/>
                <w:sz w:val="20"/>
              </w:rPr>
            </w:pPr>
            <w:r>
              <w:rPr>
                <w:b/>
                <w:sz w:val="20"/>
              </w:rPr>
              <w:t>P6</w:t>
            </w:r>
          </w:p>
        </w:tc>
        <w:tc>
          <w:tcPr>
            <w:gridSpan w:val="3"/>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vMerge/>
            <w:shd w:val="clear" w:color="auto" w:fill="808080"/>
            <w:noWrap w:val="0"/>
            <w:tcMar>
              <w:top w:w="20" w:type="dxa"/>
              <w:bottom w:w="20" w:type="dxa"/>
            </w:tcMar>
            <w:vAlign w:val="center"/>
          </w:tcPr>
          <w:p>
            <w:pPr>
              <w:jc w:val="center"/>
              <w:rPr>
                <w:b/>
                <w:sz w:val="20"/>
              </w:rPr>
            </w:pPr>
          </w:p>
        </w:tc>
        <w:tc>
          <w:tcPr>
            <w:shd w:val="clear" w:color="auto" w:fill="C0C0C0"/>
            <w:noWrap w:val="0"/>
            <w:tcMar>
              <w:top w:w="20" w:type="dxa"/>
              <w:bottom w:w="20" w:type="dxa"/>
            </w:tcMar>
            <w:vAlign w:val="center"/>
          </w:tcPr>
          <w:p>
            <w:pPr>
              <w:jc w:val="center"/>
              <w:rPr>
                <w:b w:val="0"/>
                <w:sz w:val="16"/>
              </w:rPr>
            </w:pPr>
            <w:r>
              <w:rPr>
                <w:b w:val="0"/>
                <w:sz w:val="16"/>
              </w:rPr>
              <w:t>1A</w:t>
            </w:r>
          </w:p>
        </w:tc>
        <w:tc>
          <w:tcPr>
            <w:shd w:val="clear" w:color="auto" w:fill="C0C0C0"/>
            <w:noWrap w:val="0"/>
            <w:tcMar>
              <w:top w:w="20" w:type="dxa"/>
              <w:bottom w:w="20" w:type="dxa"/>
            </w:tcMar>
            <w:vAlign w:val="center"/>
          </w:tcPr>
          <w:p>
            <w:pPr>
              <w:jc w:val="center"/>
              <w:rPr>
                <w:b w:val="0"/>
                <w:sz w:val="16"/>
              </w:rPr>
            </w:pPr>
            <w:r>
              <w:rPr>
                <w:b w:val="0"/>
                <w:sz w:val="16"/>
              </w:rPr>
              <w:t>1B</w:t>
            </w:r>
          </w:p>
        </w:tc>
        <w:tc>
          <w:tcPr>
            <w:shd w:val="clear" w:color="auto" w:fill="C0C0C0"/>
            <w:noWrap w:val="0"/>
            <w:tcMar>
              <w:top w:w="20" w:type="dxa"/>
              <w:bottom w:w="20" w:type="dxa"/>
            </w:tcMar>
            <w:vAlign w:val="center"/>
          </w:tcPr>
          <w:p>
            <w:pPr>
              <w:jc w:val="center"/>
              <w:rPr>
                <w:b w:val="0"/>
                <w:sz w:val="16"/>
              </w:rPr>
            </w:pPr>
            <w:r>
              <w:rPr>
                <w:b w:val="0"/>
                <w:sz w:val="16"/>
              </w:rPr>
              <w:t>1C</w:t>
            </w:r>
          </w:p>
        </w:tc>
        <w:tc>
          <w:tcPr>
            <w:shd w:val="clear" w:color="auto" w:fill="C0C0C0"/>
            <w:noWrap w:val="0"/>
            <w:tcMar>
              <w:top w:w="20" w:type="dxa"/>
              <w:bottom w:w="20" w:type="dxa"/>
            </w:tcMar>
            <w:vAlign w:val="center"/>
          </w:tcPr>
          <w:p>
            <w:pPr>
              <w:jc w:val="center"/>
              <w:rPr>
                <w:b w:val="0"/>
                <w:sz w:val="16"/>
              </w:rPr>
            </w:pPr>
            <w:r>
              <w:rPr>
                <w:b w:val="0"/>
                <w:sz w:val="16"/>
              </w:rPr>
              <w:t>2A</w:t>
            </w:r>
          </w:p>
        </w:tc>
        <w:tc>
          <w:tcPr>
            <w:shd w:val="clear" w:color="auto" w:fill="C0C0C0"/>
            <w:noWrap w:val="0"/>
            <w:tcMar>
              <w:top w:w="20" w:type="dxa"/>
              <w:bottom w:w="20" w:type="dxa"/>
            </w:tcMar>
            <w:vAlign w:val="center"/>
          </w:tcPr>
          <w:p>
            <w:pPr>
              <w:jc w:val="center"/>
              <w:rPr>
                <w:b w:val="0"/>
                <w:sz w:val="16"/>
              </w:rPr>
            </w:pPr>
            <w:r>
              <w:rPr>
                <w:b w:val="0"/>
                <w:sz w:val="16"/>
              </w:rPr>
              <w:t>2B</w:t>
            </w:r>
          </w:p>
        </w:tc>
        <w:tc>
          <w:tcPr>
            <w:shd w:val="clear" w:color="auto" w:fill="C0C0C0"/>
            <w:noWrap w:val="0"/>
            <w:tcMar>
              <w:top w:w="20" w:type="dxa"/>
              <w:bottom w:w="20" w:type="dxa"/>
            </w:tcMar>
            <w:vAlign w:val="center"/>
          </w:tcPr>
          <w:p>
            <w:pPr>
              <w:jc w:val="center"/>
              <w:rPr>
                <w:b w:val="0"/>
                <w:sz w:val="16"/>
              </w:rPr>
            </w:pPr>
            <w:r>
              <w:rPr>
                <w:b w:val="0"/>
                <w:sz w:val="16"/>
              </w:rPr>
              <w:t>2C+</w:t>
            </w:r>
          </w:p>
        </w:tc>
        <w:tc>
          <w:tcPr>
            <w:shd w:val="clear" w:color="auto" w:fill="C0C0C0"/>
            <w:noWrap w:val="0"/>
            <w:tcMar>
              <w:top w:w="20" w:type="dxa"/>
              <w:bottom w:w="20" w:type="dxa"/>
            </w:tcMar>
            <w:vAlign w:val="center"/>
          </w:tcPr>
          <w:p>
            <w:pPr>
              <w:jc w:val="center"/>
              <w:rPr>
                <w:b w:val="0"/>
                <w:sz w:val="16"/>
              </w:rPr>
            </w:pPr>
            <w:r>
              <w:rPr>
                <w:b w:val="0"/>
                <w:sz w:val="16"/>
              </w:rPr>
              <w:t>3A</w:t>
            </w:r>
          </w:p>
        </w:tc>
        <w:tc>
          <w:tcPr>
            <w:shd w:val="clear" w:color="auto" w:fill="C0C0C0"/>
            <w:noWrap w:val="0"/>
            <w:tcMar>
              <w:top w:w="20" w:type="dxa"/>
              <w:bottom w:w="20" w:type="dxa"/>
            </w:tcMar>
            <w:vAlign w:val="center"/>
          </w:tcPr>
          <w:p>
            <w:pPr>
              <w:jc w:val="center"/>
              <w:rPr>
                <w:b w:val="0"/>
                <w:sz w:val="16"/>
              </w:rPr>
            </w:pPr>
            <w:r>
              <w:rPr>
                <w:b w:val="0"/>
                <w:sz w:val="16"/>
              </w:rPr>
              <w:t>3B</w:t>
            </w:r>
          </w:p>
        </w:tc>
        <w:tc>
          <w:tcPr>
            <w:shd w:val="clear" w:color="auto" w:fill="C0C0C0"/>
            <w:noWrap w:val="0"/>
            <w:tcMar>
              <w:top w:w="20" w:type="dxa"/>
              <w:bottom w:w="20" w:type="dxa"/>
            </w:tcMar>
            <w:vAlign w:val="center"/>
          </w:tcPr>
          <w:p>
            <w:pPr>
              <w:jc w:val="center"/>
              <w:rPr>
                <w:b w:val="0"/>
                <w:sz w:val="16"/>
              </w:rPr>
            </w:pPr>
            <w:r>
              <w:rPr>
                <w:b w:val="0"/>
                <w:sz w:val="16"/>
              </w:rPr>
              <w:t>4A</w:t>
            </w:r>
          </w:p>
        </w:tc>
        <w:tc>
          <w:tcPr>
            <w:shd w:val="clear" w:color="auto" w:fill="C0C0C0"/>
            <w:noWrap w:val="0"/>
            <w:tcMar>
              <w:top w:w="20" w:type="dxa"/>
              <w:bottom w:w="20" w:type="dxa"/>
            </w:tcMar>
            <w:vAlign w:val="center"/>
          </w:tcPr>
          <w:p>
            <w:pPr>
              <w:jc w:val="center"/>
              <w:rPr>
                <w:b w:val="0"/>
                <w:sz w:val="16"/>
              </w:rPr>
            </w:pPr>
            <w:r>
              <w:rPr>
                <w:b w:val="0"/>
                <w:sz w:val="16"/>
              </w:rPr>
              <w:t>4B</w:t>
            </w:r>
          </w:p>
        </w:tc>
        <w:tc>
          <w:tcPr>
            <w:shd w:val="clear" w:color="auto" w:fill="C0C0C0"/>
            <w:noWrap w:val="0"/>
            <w:tcMar>
              <w:top w:w="20" w:type="dxa"/>
              <w:bottom w:w="20" w:type="dxa"/>
            </w:tcMar>
            <w:vAlign w:val="center"/>
          </w:tcPr>
          <w:p>
            <w:pPr>
              <w:jc w:val="center"/>
              <w:rPr>
                <w:b w:val="0"/>
                <w:sz w:val="16"/>
              </w:rPr>
            </w:pPr>
            <w:r>
              <w:rPr>
                <w:b w:val="0"/>
                <w:sz w:val="16"/>
              </w:rPr>
              <w:t>4C</w:t>
            </w:r>
          </w:p>
        </w:tc>
        <w:tc>
          <w:tcPr>
            <w:shd w:val="clear" w:color="auto" w:fill="C0C0C0"/>
            <w:noWrap w:val="0"/>
            <w:tcMar>
              <w:top w:w="20" w:type="dxa"/>
              <w:bottom w:w="20" w:type="dxa"/>
            </w:tcMar>
            <w:vAlign w:val="center"/>
          </w:tcPr>
          <w:p>
            <w:pPr>
              <w:jc w:val="center"/>
              <w:rPr>
                <w:b w:val="0"/>
                <w:sz w:val="16"/>
              </w:rPr>
            </w:pPr>
            <w:r>
              <w:rPr>
                <w:b w:val="0"/>
                <w:sz w:val="16"/>
              </w:rPr>
              <w:t>5A</w:t>
            </w:r>
          </w:p>
        </w:tc>
        <w:tc>
          <w:tcPr>
            <w:shd w:val="clear" w:color="auto" w:fill="C0C0C0"/>
            <w:noWrap w:val="0"/>
            <w:tcMar>
              <w:top w:w="20" w:type="dxa"/>
              <w:bottom w:w="20" w:type="dxa"/>
            </w:tcMar>
            <w:vAlign w:val="center"/>
          </w:tcPr>
          <w:p>
            <w:pPr>
              <w:jc w:val="center"/>
              <w:rPr>
                <w:b w:val="0"/>
                <w:sz w:val="16"/>
              </w:rPr>
            </w:pPr>
            <w:r>
              <w:rPr>
                <w:b w:val="0"/>
                <w:sz w:val="16"/>
              </w:rPr>
              <w:t>5B</w:t>
            </w:r>
          </w:p>
        </w:tc>
        <w:tc>
          <w:tcPr>
            <w:shd w:val="clear" w:color="auto" w:fill="C0C0C0"/>
            <w:noWrap w:val="0"/>
            <w:tcMar>
              <w:top w:w="20" w:type="dxa"/>
              <w:bottom w:w="20" w:type="dxa"/>
            </w:tcMar>
            <w:vAlign w:val="center"/>
          </w:tcPr>
          <w:p>
            <w:pPr>
              <w:jc w:val="center"/>
              <w:rPr>
                <w:b w:val="0"/>
                <w:sz w:val="16"/>
              </w:rPr>
            </w:pPr>
            <w:r>
              <w:rPr>
                <w:b w:val="0"/>
                <w:sz w:val="16"/>
              </w:rPr>
              <w:t>5C</w:t>
            </w:r>
          </w:p>
        </w:tc>
        <w:tc>
          <w:tcPr>
            <w:shd w:val="clear" w:color="auto" w:fill="C0C0C0"/>
            <w:noWrap w:val="0"/>
            <w:tcMar>
              <w:top w:w="20" w:type="dxa"/>
              <w:bottom w:w="20" w:type="dxa"/>
            </w:tcMar>
            <w:vAlign w:val="center"/>
          </w:tcPr>
          <w:p>
            <w:pPr>
              <w:jc w:val="center"/>
              <w:rPr>
                <w:b w:val="0"/>
                <w:sz w:val="16"/>
              </w:rPr>
            </w:pPr>
            <w:r>
              <w:rPr>
                <w:b w:val="0"/>
                <w:sz w:val="16"/>
              </w:rPr>
              <w:t>5D</w:t>
            </w:r>
          </w:p>
        </w:tc>
        <w:tc>
          <w:tcPr>
            <w:shd w:val="clear" w:color="auto" w:fill="C0C0C0"/>
            <w:noWrap w:val="0"/>
            <w:tcMar>
              <w:top w:w="20" w:type="dxa"/>
              <w:bottom w:w="20" w:type="dxa"/>
            </w:tcMar>
            <w:vAlign w:val="center"/>
          </w:tcPr>
          <w:p>
            <w:pPr>
              <w:jc w:val="center"/>
              <w:rPr>
                <w:b w:val="0"/>
                <w:sz w:val="16"/>
              </w:rPr>
            </w:pPr>
            <w:r>
              <w:rPr>
                <w:b w:val="0"/>
                <w:sz w:val="16"/>
              </w:rPr>
              <w:t>5E</w:t>
            </w:r>
          </w:p>
        </w:tc>
        <w:tc>
          <w:tcPr>
            <w:shd w:val="clear" w:color="auto" w:fill="C0C0C0"/>
            <w:noWrap w:val="0"/>
            <w:tcMar>
              <w:top w:w="20" w:type="dxa"/>
              <w:bottom w:w="20" w:type="dxa"/>
            </w:tcMar>
            <w:vAlign w:val="center"/>
          </w:tcPr>
          <w:p>
            <w:pPr>
              <w:jc w:val="center"/>
              <w:rPr>
                <w:b w:val="0"/>
                <w:sz w:val="16"/>
              </w:rPr>
            </w:pPr>
            <w:r>
              <w:rPr>
                <w:b w:val="0"/>
                <w:sz w:val="16"/>
              </w:rPr>
              <w:t>6A</w:t>
            </w:r>
          </w:p>
        </w:tc>
        <w:tc>
          <w:tcPr>
            <w:shd w:val="clear" w:color="auto" w:fill="C0C0C0"/>
            <w:noWrap w:val="0"/>
            <w:tcMar>
              <w:top w:w="20" w:type="dxa"/>
              <w:bottom w:w="20" w:type="dxa"/>
            </w:tcMar>
            <w:vAlign w:val="center"/>
          </w:tcPr>
          <w:p>
            <w:pPr>
              <w:jc w:val="center"/>
              <w:rPr>
                <w:b w:val="0"/>
                <w:sz w:val="16"/>
              </w:rPr>
            </w:pPr>
            <w:r>
              <w:rPr>
                <w:b w:val="0"/>
                <w:sz w:val="16"/>
              </w:rPr>
              <w:t>6B</w:t>
            </w:r>
          </w:p>
        </w:tc>
        <w:tc>
          <w:tcPr>
            <w:shd w:val="clear" w:color="auto" w:fill="C0C0C0"/>
            <w:noWrap w:val="0"/>
            <w:tcMar>
              <w:top w:w="20" w:type="dxa"/>
              <w:bottom w:w="20" w:type="dxa"/>
            </w:tcMar>
            <w:vAlign w:val="center"/>
          </w:tcPr>
          <w:p>
            <w:pPr>
              <w:jc w:val="center"/>
              <w:rPr>
                <w:b w:val="0"/>
                <w:sz w:val="16"/>
              </w:rPr>
            </w:pPr>
            <w:r>
              <w:rPr>
                <w:b w:val="0"/>
                <w:sz w:val="16"/>
              </w:rPr>
              <w:t>6C</w:t>
            </w:r>
          </w:p>
        </w:tc>
        <w:tc>
          <w:tcPr>
            <w:shd w:val="clear" w:color="auto" w:fill="C0C0C0"/>
            <w:noWrap w:val="0"/>
            <w:tcMar>
              <w:top w:w="20" w:type="dxa"/>
              <w:bottom w:w="20" w:type="dxa"/>
            </w:tcMar>
            <w:vAlign w:val="center"/>
          </w:tcPr>
          <w:p>
            <w:pPr>
              <w:jc w:val="center"/>
              <w:rPr>
                <w:b w:val="0"/>
                <w:sz w:val="16"/>
              </w:rPr>
            </w:pPr>
            <w:r>
              <w:rPr>
                <w:b w:val="0"/>
                <w:sz w:val="16"/>
              </w:rPr>
              <w:t>Околна среда</w:t>
            </w:r>
          </w:p>
        </w:tc>
        <w:tc>
          <w:tcPr>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2" w:name="_Toc256000042"/>
      <w:r>
        <w:rPr>
          <w:b w:val="0"/>
        </w:rPr>
        <w:t>1A-1: Повишаване на осведомеността</w:t>
      </w:r>
      <w:bookmarkEnd w:id="4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23"/>
              </w:numPr>
              <w:rPr>
                <w:b w:val="0"/>
              </w:rPr>
            </w:pPr>
            <w:r>
              <w:rPr>
                <w:b w:val="0"/>
              </w:rPr>
              <w:t>1А) Стимулиране на иновациите, сътрудничеството и развитието на базата от знания в селските райони</w:t>
            </w:r>
          </w:p>
          <w:p>
            <w:pPr>
              <w:numPr>
                <w:numId w:val="23"/>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3"/>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3"/>
              </w:numPr>
              <w:rPr>
                <w:b w:val="0"/>
              </w:rPr>
            </w:pPr>
            <w:r>
              <w:rPr>
                <w:b w:val="0"/>
              </w:rPr>
              <w:t>4В) Предотвратяване на ерозията на почвите и подобряване на управлението им</w:t>
            </w:r>
          </w:p>
          <w:p>
            <w:pPr>
              <w:numPr>
                <w:numId w:val="23"/>
              </w:numPr>
              <w:rPr>
                <w:b w:val="0"/>
              </w:rPr>
            </w:pPr>
            <w:r>
              <w:rPr>
                <w:b w:val="0"/>
              </w:rPr>
              <w:t xml:space="preserve">5А) Повишаване на ефективността при потреблението на вода в селското стопанство </w:t>
            </w:r>
          </w:p>
          <w:p>
            <w:pPr>
              <w:numPr>
                <w:numId w:val="23"/>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3"/>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3"/>
              </w:numPr>
              <w:rPr>
                <w:b w:val="0"/>
              </w:rPr>
            </w:pPr>
            <w:r>
              <w:rPr>
                <w:b w:val="0"/>
              </w:rPr>
              <w:t>5Г) Намаляване на емисиите на парникови газове и амоняк от селското стопанство</w:t>
            </w:r>
          </w:p>
          <w:p>
            <w:pPr>
              <w:numPr>
                <w:numId w:val="23"/>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24"/>
              </w:numPr>
              <w:rPr>
                <w:b w:val="0"/>
              </w:rPr>
            </w:pPr>
            <w:r>
              <w:rPr>
                <w:b w:val="0"/>
              </w:rPr>
              <w:t>Околна среда</w:t>
            </w:r>
          </w:p>
          <w:p>
            <w:pPr>
              <w:numPr>
                <w:numId w:val="24"/>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1A-2: Повишаване на капацитета за предоставяне на съветнически услуги</w:t>
      </w:r>
      <w:bookmarkEnd w:id="4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5"/>
              </w:numPr>
              <w:rPr>
                <w:b w:val="0"/>
              </w:rPr>
            </w:pPr>
            <w:r>
              <w:rPr>
                <w:b w:val="0"/>
              </w:rPr>
              <w:t>1А) Стимулиране на иновациите, сътрудничеството и развитието на базата от знания в селските райони</w:t>
            </w:r>
          </w:p>
          <w:p>
            <w:pPr>
              <w:numPr>
                <w:numId w:val="2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5"/>
              </w:numPr>
              <w:rPr>
                <w:b w:val="0"/>
              </w:rPr>
            </w:pPr>
            <w:r>
              <w:rPr>
                <w:b w:val="0"/>
              </w:rPr>
              <w:t xml:space="preserve">4Б) Подобряване управлението на водите, включително управлението на торовете и пестицидите </w:t>
            </w:r>
          </w:p>
          <w:p>
            <w:pPr>
              <w:numPr>
                <w:numId w:val="25"/>
              </w:numPr>
              <w:rPr>
                <w:b w:val="0"/>
              </w:rPr>
            </w:pPr>
            <w:r>
              <w:rPr>
                <w:b w:val="0"/>
              </w:rPr>
              <w:t>4В) Предотвратяване на ерозията на почвите и подобряване на управлението им</w:t>
            </w:r>
          </w:p>
          <w:p>
            <w:pPr>
              <w:numPr>
                <w:numId w:val="25"/>
              </w:numPr>
              <w:rPr>
                <w:b w:val="0"/>
              </w:rPr>
            </w:pPr>
            <w:r>
              <w:rPr>
                <w:b w:val="0"/>
              </w:rPr>
              <w:t xml:space="preserve">5А) Повишаване на ефективността при потреблението на вода в селското стопанство </w:t>
            </w:r>
          </w:p>
          <w:p>
            <w:pPr>
              <w:numPr>
                <w:numId w:val="25"/>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5"/>
              </w:numPr>
              <w:rPr>
                <w:b w:val="0"/>
              </w:rPr>
            </w:pPr>
            <w:r>
              <w:rPr>
                <w:b w:val="0"/>
              </w:rPr>
              <w:t>5Г) Намаляване на емисиите на парникови газове и амоняк от селското стопанство</w:t>
            </w:r>
          </w:p>
          <w:p>
            <w:pPr>
              <w:numPr>
                <w:numId w:val="25"/>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6"/>
              </w:numPr>
              <w:rPr>
                <w:b w:val="0"/>
              </w:rPr>
            </w:pPr>
            <w:r>
              <w:rPr>
                <w:b w:val="0"/>
              </w:rPr>
              <w:t>Околна среда</w:t>
            </w:r>
          </w:p>
          <w:p>
            <w:pPr>
              <w:numPr>
                <w:numId w:val="2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1Б-1: Подобряване на организацията за трансфер на знания и иновации</w:t>
      </w:r>
      <w:bookmarkEnd w:id="4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7"/>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7"/>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7"/>
              </w:numPr>
              <w:rPr>
                <w:b w:val="0"/>
              </w:rPr>
            </w:pPr>
            <w:r>
              <w:rPr>
                <w:b w:val="0"/>
              </w:rPr>
              <w:t xml:space="preserve">4Б) Подобряване управлението на водите, включително управлението на торовете и пестицидите </w:t>
            </w:r>
          </w:p>
          <w:p>
            <w:pPr>
              <w:numPr>
                <w:numId w:val="27"/>
              </w:numPr>
              <w:rPr>
                <w:b w:val="0"/>
              </w:rPr>
            </w:pPr>
            <w:r>
              <w:rPr>
                <w:b w:val="0"/>
              </w:rPr>
              <w:t>4В) Предотвратяване на ерозията на почвите и подобряване на управлението им</w:t>
            </w:r>
          </w:p>
          <w:p>
            <w:pPr>
              <w:numPr>
                <w:numId w:val="27"/>
              </w:numPr>
              <w:rPr>
                <w:b w:val="0"/>
              </w:rPr>
            </w:pPr>
            <w:r>
              <w:rPr>
                <w:b w:val="0"/>
              </w:rPr>
              <w:t xml:space="preserve">5А) Повишаване на ефективността при потреблението на вода в селското стопанство </w:t>
            </w:r>
          </w:p>
          <w:p>
            <w:pPr>
              <w:numPr>
                <w:numId w:val="2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7"/>
              </w:numPr>
              <w:rPr>
                <w:b w:val="0"/>
              </w:rPr>
            </w:pPr>
            <w:r>
              <w:rPr>
                <w:b w:val="0"/>
              </w:rPr>
              <w:t>5Г) Намаляване на емисиите на парникови газове и амоняк от селското стопанство</w:t>
            </w:r>
          </w:p>
          <w:p>
            <w:pPr>
              <w:numPr>
                <w:numId w:val="27"/>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8"/>
              </w:numPr>
              <w:rPr>
                <w:b w:val="0"/>
              </w:rPr>
            </w:pPr>
            <w:r>
              <w:rPr>
                <w:b w:val="0"/>
              </w:rPr>
              <w:t>Околна среда</w:t>
            </w:r>
          </w:p>
          <w:p>
            <w:pPr>
              <w:numPr>
                <w:numId w:val="28"/>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5" w:name="_Toc256000045"/>
      <w:r>
        <w:rPr>
          <w:b w:val="0"/>
        </w:rPr>
        <w:t>1Б-2: Подобряване на капацитета на участниците в организацията за трансфер на знания и иновации</w:t>
      </w:r>
      <w:bookmarkEnd w:id="4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29"/>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6" w:name="_Toc256000046"/>
      <w:r>
        <w:rPr>
          <w:b w:val="0"/>
        </w:rPr>
        <w:t>1В-1: Повишаване квалификацията и управленските умения</w:t>
      </w:r>
      <w:bookmarkEnd w:id="4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0"/>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0"/>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0"/>
              </w:numPr>
              <w:rPr>
                <w:b w:val="0"/>
              </w:rPr>
            </w:pPr>
            <w:r>
              <w:rPr>
                <w:b w:val="0"/>
              </w:rPr>
              <w:t xml:space="preserve">4Б) Подобряване управлението на водите, включително управлението на торовете и пестицидите </w:t>
            </w:r>
          </w:p>
          <w:p>
            <w:pPr>
              <w:numPr>
                <w:numId w:val="30"/>
              </w:numPr>
              <w:rPr>
                <w:b w:val="0"/>
              </w:rPr>
            </w:pPr>
            <w:r>
              <w:rPr>
                <w:b w:val="0"/>
              </w:rPr>
              <w:t>4В) Предотвратяване на ерозията на почвите и подобряване на управлението им</w:t>
            </w:r>
          </w:p>
          <w:p>
            <w:pPr>
              <w:numPr>
                <w:numId w:val="30"/>
              </w:numPr>
              <w:rPr>
                <w:b w:val="0"/>
              </w:rPr>
            </w:pPr>
            <w:r>
              <w:rPr>
                <w:b w:val="0"/>
              </w:rPr>
              <w:t xml:space="preserve">5А) Повишаване на ефективността при потреблението на вода в селското стопанство </w:t>
            </w:r>
          </w:p>
          <w:p>
            <w:pPr>
              <w:numPr>
                <w:numId w:val="30"/>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0"/>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0"/>
              </w:numPr>
              <w:rPr>
                <w:b w:val="0"/>
              </w:rPr>
            </w:pPr>
            <w:r>
              <w:rPr>
                <w:b w:val="0"/>
              </w:rPr>
              <w:t>5Г) Намаляване на емисиите на парникови газове и амоняк от селското стопанство</w:t>
            </w:r>
          </w:p>
          <w:p>
            <w:pPr>
              <w:numPr>
                <w:numId w:val="30"/>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1"/>
              </w:numPr>
              <w:rPr>
                <w:b w:val="0"/>
              </w:rPr>
            </w:pPr>
            <w:r>
              <w:rPr>
                <w:b w:val="0"/>
              </w:rPr>
              <w:t>Околна среда</w:t>
            </w:r>
          </w:p>
          <w:p>
            <w:pPr>
              <w:numPr>
                <w:numId w:val="31"/>
              </w:numPr>
              <w:rPr>
                <w:b w:val="0"/>
              </w:rPr>
            </w:pPr>
            <w:r>
              <w:rPr>
                <w:b w:val="0"/>
              </w:rPr>
              <w:t>Смекчаване на последиците от изменението на климата и приспособяване към тях</w:t>
            </w:r>
          </w:p>
          <w:p>
            <w:pPr>
              <w:numPr>
                <w:numId w:val="31"/>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7" w:name="_Toc256000047"/>
      <w:r>
        <w:rPr>
          <w:b w:val="0"/>
        </w:rPr>
        <w:t>2А-1: Повишаване на конкурентоспособността на стопанства в секторите мляко, месо, плодове и зеленчуци и етерично-маслени и лекар</w:t>
      </w:r>
      <w:bookmarkEnd w:id="4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3"/>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която ги обслужва. Секторите са изправени пред различни предизвикателства, свързани с климатичните промени,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8" w:name="_Toc256000048"/>
      <w:r>
        <w:rPr>
          <w:b w:val="0"/>
        </w:rPr>
        <w:t>2А-2: Повишаване на жизнеспособността и устойчивостта на малките земеделски стопанства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34"/>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5"/>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2А-3: Подобряване на достъпа до външни финансови средства</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6"/>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6"/>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2А-4: Ускоряване на модернизацията и технологичното обновление на земеделските стопанства</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8"/>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2А-5 Ускоряване на процеса на комасация на земята</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Съществуващата </w:t>
            </w:r>
            <w:r>
              <w:rPr>
                <w:rStyle w:val="DefaultParagraphFont"/>
                <w:rFonts w:ascii="Times New Roman" w:eastAsia="Times New Roman" w:hAnsi="Times New Roman" w:cs="Times New Roman"/>
                <w:i/>
                <w:iCs/>
                <w:szCs w:val="24"/>
              </w:rPr>
              <w:t>значителна разпокъсаност на поземлената собственост</w:t>
            </w:r>
            <w:r>
              <w:rPr>
                <w:rStyle w:val="DefaultParagraphFont"/>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2Б-1 Увеличаване на броя и развитие на стопанствата на млади земеделски стопани с подходяща квалификация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1"/>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2"/>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42"/>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3А-1 Подобряване на вертикалното и хоризонталното сътрудничество между земеделските производители, преработватели и търговци</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3А-2 Ускоряване на иновациите, подобряване на енергийната ефективност и технологичното обновление в хранителната промишленост</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5"/>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3А-3: Подобряване условията на отглеждане на животните и повишаване качеството на произвежданите животински продукти</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3А-4 Скъсяване веригите на доставки, насърчаване на местните пазари и подобряване на маркетинга на земеделски продукти</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3Б-1: Подобряване на управлението на риска в земеделските стопанства</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9"/>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чрез национални средства и политики.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4A-1: Съхранение на дела на полу-естествените тревни местообитания с висока природна стойност</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1"/>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4A-2: Съхранение и възстановяване на ценните местообитания и видове в местата по Натура 2000</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4А-3: Съхранение на дела на горите с висока консервационна стойност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3"/>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4"/>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4А-4: Опазване на застрашените от изчезване редки породи животни  и традиционни, застрашени от изчезване сортове растения</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4А-5: Подпомагане на земеделието в райони с природни ограничения</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5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4А-6: Въвеждане на системи за превенция на пожарите в горите</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7"/>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8"/>
              </w:numPr>
              <w:rPr>
                <w:b w:val="0"/>
              </w:rPr>
            </w:pPr>
            <w:r>
              <w:rPr>
                <w:b w:val="0"/>
              </w:rPr>
              <w:t>Околна среда</w:t>
            </w:r>
          </w:p>
          <w:p>
            <w:pPr>
              <w:numPr>
                <w:numId w:val="58"/>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4Б-1: Предотвратяване и намаляване на замърсяването от селското стопанство</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9"/>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66" w:name="_Toc256000066"/>
      <w:r>
        <w:rPr>
          <w:b w:val="0"/>
        </w:rPr>
        <w:t>4Б-2:Увеличаване на дела на биологичното производство</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0"/>
              </w:numPr>
              <w:rPr>
                <w:b w:val="0"/>
              </w:rPr>
            </w:pPr>
            <w:r>
              <w:rPr>
                <w:b w:val="0"/>
              </w:rPr>
              <w:t xml:space="preserve">4Б) Подобряване управлението на водите, включително управлението на торовете и пестицидите </w:t>
            </w:r>
          </w:p>
          <w:p>
            <w:pPr>
              <w:numPr>
                <w:numId w:val="60"/>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4В-1: Съхранение и увеличаване на почвеното плодородие</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1"/>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5А-1: Възстановяване и реконструкция на хидромелиоративната инфраструктура</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2"/>
              </w:numPr>
              <w:rPr>
                <w:b w:val="0"/>
              </w:rPr>
            </w:pPr>
            <w:r>
              <w:rPr>
                <w:b w:val="0"/>
              </w:rPr>
              <w:t xml:space="preserve">4Б) Подобряване управлението на водите, включително управлението на торовете и пестицидите </w:t>
            </w:r>
          </w:p>
          <w:p>
            <w:pPr>
              <w:numPr>
                <w:numId w:val="62"/>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потребност ще бъде формулирана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5Б-1: Повишаване на енергийната ефективност</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3"/>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63"/>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3"/>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5В-1: Изграждане на нови и реконструкция на съществуващи мощности за преработка на отпадъци остатъци и други суровини в био енер</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4"/>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5В-2: Увеличаване на площите с бързорастящи храсти и дървесни видове за производство на биоенергия</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2" w:name="_Toc256000072"/>
      <w:r>
        <w:rPr>
          <w:b w:val="0"/>
        </w:rPr>
        <w:t>5В-3: Възползване от принципите на биоикономиката за повишаване на ресурсната ефективност и добавената стойност</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7"/>
              </w:numPr>
              <w:rPr>
                <w:b w:val="0"/>
              </w:rPr>
            </w:pPr>
            <w:r>
              <w:rPr>
                <w:b w:val="0"/>
              </w:rPr>
              <w:t>Околна среда</w:t>
            </w:r>
          </w:p>
          <w:p>
            <w:pPr>
              <w:numPr>
                <w:numId w:val="67"/>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5Г-1: Принос към Третия национален план за действие по изменение на климата за намаляване на емисиите от земеделски източници</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8"/>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9"/>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5Д-1: Увеличаване лесистостта и възстановяване на горския потенциал</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0"/>
              </w:numPr>
              <w:rPr>
                <w:b w:val="0"/>
              </w:rPr>
            </w:pPr>
            <w:r>
              <w:rPr>
                <w:b w:val="0"/>
              </w:rPr>
              <w:t>4В) Предотвратяване на ерозията на почвите и подобряване на управлението им</w:t>
            </w:r>
          </w:p>
          <w:p>
            <w:pPr>
              <w:numPr>
                <w:numId w:val="70"/>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1"/>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6А-1: Повишаване на инвестициите в неземеделските сектори на селските райони</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2"/>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3"/>
              </w:numPr>
              <w:rPr>
                <w:b w:val="0"/>
              </w:rPr>
            </w:pPr>
            <w:r>
              <w:rPr>
                <w:b w:val="0"/>
              </w:rPr>
              <w:t>Околна среда</w:t>
            </w:r>
          </w:p>
          <w:p>
            <w:pPr>
              <w:numPr>
                <w:numId w:val="73"/>
              </w:numPr>
              <w:rPr>
                <w:b w:val="0"/>
              </w:rPr>
            </w:pPr>
            <w:r>
              <w:rPr>
                <w:b w:val="0"/>
              </w:rPr>
              <w:t>Смекчаване на последиците от изменението на климата и приспособяване към тях</w:t>
            </w:r>
          </w:p>
          <w:p>
            <w:pPr>
              <w:numPr>
                <w:numId w:val="7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6А-2: Развитие на предприемачеството в селските райони</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6Б-1: Подобряване на социалната инфраструктура</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5"/>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6Б-2: Подобряване на техническата инфраструктура</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6"/>
              </w:numPr>
              <w:rPr>
                <w:b w:val="0"/>
              </w:rPr>
            </w:pPr>
            <w:r>
              <w:rPr>
                <w:b w:val="0"/>
              </w:rPr>
              <w:t xml:space="preserve">5А) Повишаване на ефективността при потреблението на вода в селското стопанство </w:t>
            </w:r>
          </w:p>
          <w:p>
            <w:pPr>
              <w:numPr>
                <w:numId w:val="7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6Б-3: Подобряване на туристическата инфраструктурата</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7"/>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6Б-4: Развитие на местния капацитет за устойчиво развитие</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8"/>
              </w:numPr>
              <w:rPr>
                <w:b w:val="0"/>
              </w:rPr>
            </w:pPr>
            <w:r>
              <w:rPr>
                <w:b w:val="0"/>
              </w:rPr>
              <w:t>1А) Стимулиране на иновациите, сътрудничеството и развитието на базата от знания в селските райони</w:t>
            </w:r>
          </w:p>
          <w:p>
            <w:pPr>
              <w:numPr>
                <w:numId w:val="7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9"/>
              </w:numPr>
              <w:rPr>
                <w:b w:val="0"/>
              </w:rPr>
            </w:pPr>
            <w:r>
              <w:rPr>
                <w:b w:val="0"/>
              </w:rPr>
              <w:t>Околна среда</w:t>
            </w:r>
          </w:p>
          <w:p>
            <w:pPr>
              <w:numPr>
                <w:numId w:val="79"/>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6В-1 Осигуряване на достъп до фиксирана широколентова мрежа в селските територии без покритие</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0"/>
              </w:numPr>
              <w:rPr>
                <w:b w:val="0"/>
              </w:rPr>
            </w:pPr>
            <w:r>
              <w:rPr>
                <w:b w:val="0"/>
              </w:rPr>
              <w:t xml:space="preserve">6Б) Стимулиране на местното развитие в селските райони </w:t>
            </w:r>
          </w:p>
          <w:p>
            <w:pPr>
              <w:numPr>
                <w:numId w:val="80"/>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1"/>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Style w:val="DefaultParagraphFont"/>
                <w:rFonts w:ascii="Times New Roman" w:eastAsia="Times New Roman" w:hAnsi="Times New Roman" w:cs="Times New Roman"/>
                <w:b/>
                <w:b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Style w:val="DefaultParagraphFont"/>
                <w:rFonts w:ascii="Times New Roman" w:eastAsia="Times New Roman" w:hAnsi="Times New Roman" w:cs="Times New Roman"/>
                <w:i/>
                <w:iCs/>
                <w:szCs w:val="24"/>
              </w:rPr>
              <w:t xml:space="preserve">(Тази потребност се адресира от ОПРЧР и </w:t>
            </w:r>
            <w:r>
              <w:rPr>
                <w:rStyle w:val="DefaultParagraphFont"/>
                <w:rFonts w:ascii="Times New Roman" w:eastAsia="Times New Roman" w:hAnsi="Times New Roman" w:cs="Times New Roman"/>
                <w:szCs w:val="24"/>
              </w:rPr>
              <w:t>ОПДУ</w:t>
            </w:r>
            <w:r>
              <w:rPr>
                <w:rStyle w:val="DefaultParagraphFont"/>
                <w:rFonts w:ascii="Times New Roman" w:eastAsia="Times New Roman" w:hAnsi="Times New Roman" w:cs="Times New Roman"/>
                <w:i/>
                <w:i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2" w:name="_Toc256000082"/>
      <w:r>
        <w:t>Описание на стратегията</w:t>
      </w:r>
      <w:bookmarkEnd w:id="82"/>
    </w:p>
    <w:p>
      <w:pPr>
        <w:pStyle w:val="Heading2"/>
      </w:pPr>
      <w:bookmarkStart w:id="83" w:name="_Toc256000083"/>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планираните интервенции по първата цел са отделени 22% от публичните разходи на Програмата, по втората – 48%, а по третата – 28%.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Първата цел </w:t>
            </w:r>
            <w:r>
              <w:rPr>
                <w:rStyle w:val="DefaultParagraphFont"/>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Интервенциите по Приоритет 2 целят </w:t>
            </w:r>
            <w:r>
              <w:rPr>
                <w:rStyle w:val="DefaultParagraphFont"/>
                <w:rFonts w:ascii="Times New Roman" w:eastAsia="Times New Roman" w:hAnsi="Times New Roman" w:cs="Times New Roman"/>
                <w:i/>
                <w:iCs/>
                <w:szCs w:val="24"/>
              </w:rPr>
              <w:t xml:space="preserve">повишаване на жизнеспособността и конкурентоспособността </w:t>
            </w:r>
            <w:r>
              <w:rPr>
                <w:rStyle w:val="DefaultParagraphFont"/>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Style w:val="DefaultParagraphFont"/>
                <w:rFonts w:ascii="Times New Roman" w:eastAsia="Times New Roman" w:hAnsi="Times New Roman" w:cs="Times New Roman"/>
                <w:b/>
                <w:bCs/>
                <w:szCs w:val="24"/>
              </w:rPr>
              <w:t xml:space="preserve"> 3500 земеделски стопанства и навлизането в земеделието на 3060 млади стопани</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 интервенциите за </w:t>
            </w:r>
            <w:r>
              <w:rPr>
                <w:rStyle w:val="DefaultParagraphFont"/>
                <w:rFonts w:ascii="Times New Roman" w:eastAsia="Times New Roman" w:hAnsi="Times New Roman" w:cs="Times New Roman"/>
                <w:i/>
                <w:iCs/>
                <w:szCs w:val="24"/>
              </w:rPr>
              <w:t>насърчаване на организацията на хранителната верига</w:t>
            </w:r>
            <w:r>
              <w:rPr>
                <w:rStyle w:val="DefaultParagraphFont"/>
                <w:rFonts w:ascii="Times New Roman" w:eastAsia="Times New Roman" w:hAnsi="Times New Roman" w:cs="Times New Roman"/>
                <w:szCs w:val="24"/>
              </w:rPr>
              <w:t xml:space="preserve"> и </w:t>
            </w:r>
            <w:r>
              <w:rPr>
                <w:rStyle w:val="DefaultParagraphFont"/>
                <w:rFonts w:ascii="Times New Roman" w:eastAsia="Times New Roman" w:hAnsi="Times New Roman" w:cs="Times New Roman"/>
                <w:i/>
                <w:iCs/>
                <w:szCs w:val="24"/>
              </w:rPr>
              <w:t xml:space="preserve">управлението на риска </w:t>
            </w:r>
            <w:r>
              <w:rPr>
                <w:rStyle w:val="DefaultParagraphFont"/>
                <w:rFonts w:ascii="Times New Roman" w:eastAsia="Times New Roman" w:hAnsi="Times New Roman" w:cs="Times New Roman"/>
                <w:szCs w:val="24"/>
              </w:rPr>
              <w:t xml:space="preserve">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Style w:val="DefaultParagraphFont"/>
                <w:rFonts w:ascii="Times New Roman" w:eastAsia="Times New Roman" w:hAnsi="Times New Roman" w:cs="Times New Roman"/>
                <w:b/>
                <w:bCs/>
                <w:szCs w:val="24"/>
              </w:rPr>
              <w:t>620 стопанства</w:t>
            </w:r>
            <w:r>
              <w:rPr>
                <w:rStyle w:val="DefaultParagraphFont"/>
                <w:rFonts w:ascii="Times New Roman" w:eastAsia="Times New Roman" w:hAnsi="Times New Roman" w:cs="Times New Roman"/>
                <w:szCs w:val="24"/>
              </w:rPr>
              <w:t xml:space="preserve">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3Б ще програмата цели подобряване на управлението на риска в земеделието чрез подпомагане на създаването на взаимоспомагателен фонд за неблагоприятни климатични явления, болести по животните и растенията, нашествия на вредители и екологични инциденти, който е програмиран да започне да функционира през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Втората цел </w:t>
            </w:r>
            <w:r>
              <w:rPr>
                <w:rStyle w:val="DefaultParagraphFont"/>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Style w:val="DefaultParagraphFont"/>
                <w:rFonts w:ascii="Times New Roman" w:eastAsia="Times New Roman" w:hAnsi="Times New Roman" w:cs="Times New Roman"/>
                <w:b/>
                <w:bCs/>
                <w:szCs w:val="24"/>
              </w:rPr>
              <w:t>537 хил. ха</w:t>
            </w:r>
            <w:r>
              <w:rPr>
                <w:rStyle w:val="DefaultParagraphFont"/>
                <w:rFonts w:ascii="Times New Roman" w:eastAsia="Times New Roman" w:hAnsi="Times New Roman" w:cs="Times New Roman"/>
                <w:szCs w:val="24"/>
              </w:rPr>
              <w:t xml:space="preserve"> земеделска земя и </w:t>
            </w:r>
            <w:r>
              <w:rPr>
                <w:rStyle w:val="DefaultParagraphFont"/>
                <w:rFonts w:ascii="Times New Roman" w:eastAsia="Times New Roman" w:hAnsi="Times New Roman" w:cs="Times New Roman"/>
                <w:b/>
                <w:bCs/>
                <w:szCs w:val="24"/>
              </w:rPr>
              <w:t>101 хил. ха</w:t>
            </w:r>
            <w:r>
              <w:rPr>
                <w:rStyle w:val="DefaultParagraphFont"/>
                <w:rFonts w:ascii="Times New Roman" w:eastAsia="Times New Roman" w:hAnsi="Times New Roman" w:cs="Times New Roman"/>
                <w:szCs w:val="24"/>
              </w:rPr>
              <w:t xml:space="preserve"> горски територии, а също опазване на почвеното плодородие и предотвратяване на ерозията на </w:t>
            </w:r>
            <w:r>
              <w:rPr>
                <w:rStyle w:val="DefaultParagraphFont"/>
                <w:rFonts w:ascii="Times New Roman" w:eastAsia="Times New Roman" w:hAnsi="Times New Roman" w:cs="Times New Roman"/>
                <w:b/>
                <w:bCs/>
                <w:szCs w:val="24"/>
              </w:rPr>
              <w:t>53 хил. ха</w:t>
            </w:r>
            <w:r>
              <w:rPr>
                <w:rStyle w:val="DefaultParagraphFont"/>
                <w:rFonts w:ascii="Times New Roman" w:eastAsia="Times New Roman" w:hAnsi="Times New Roman" w:cs="Times New Roman"/>
                <w:szCs w:val="24"/>
              </w:rPr>
              <w:t xml:space="preserve">, и подобряване на управлението на водите на </w:t>
            </w:r>
            <w:r>
              <w:rPr>
                <w:rStyle w:val="DefaultParagraphFont"/>
                <w:rFonts w:ascii="Times New Roman" w:eastAsia="Times New Roman" w:hAnsi="Times New Roman" w:cs="Times New Roman"/>
                <w:b/>
                <w:bCs/>
                <w:szCs w:val="24"/>
              </w:rPr>
              <w:t>113 хил. ха</w:t>
            </w:r>
            <w:r>
              <w:rPr>
                <w:rStyle w:val="DefaultParagraphFont"/>
                <w:rFonts w:ascii="Times New Roman" w:eastAsia="Times New Roman" w:hAnsi="Times New Roman" w:cs="Times New Roman"/>
                <w:szCs w:val="24"/>
              </w:rPr>
              <w:t>. земеделски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като за целите на правилното насочване на ограничените ресурси се разработва Стратегията за устойчивото управление в хидромелиоративния сектор и опазване на вредното въздействие на водите, която ще определи приоритетите и ще разработи механизмите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Style w:val="DefaultParagraphFont"/>
                <w:rFonts w:ascii="Times New Roman" w:eastAsia="Times New Roman" w:hAnsi="Times New Roman" w:cs="Times New Roman"/>
                <w:b/>
                <w:bCs/>
                <w:szCs w:val="24"/>
              </w:rPr>
              <w:t>217 млн. евро</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Style w:val="DefaultParagraphFont"/>
                <w:rFonts w:ascii="Times New Roman" w:eastAsia="Times New Roman" w:hAnsi="Times New Roman" w:cs="Times New Roman"/>
                <w:b/>
                <w:bCs/>
                <w:szCs w:val="24"/>
              </w:rPr>
              <w:t>150 млн. евро</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Style w:val="DefaultParagraphFont"/>
                <w:rFonts w:ascii="Times New Roman" w:eastAsia="Times New Roman" w:hAnsi="Times New Roman" w:cs="Times New Roman"/>
                <w:b/>
                <w:bCs/>
                <w:szCs w:val="24"/>
              </w:rPr>
              <w:t>18 хил. ж.е</w:t>
            </w:r>
            <w:r>
              <w:rPr>
                <w:rStyle w:val="DefaultParagraphFont"/>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Третата цел </w:t>
            </w:r>
            <w:r>
              <w:rPr>
                <w:rStyle w:val="DefaultParagraphFont"/>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рамките на ПО 6А Програмата цели подпомагането на </w:t>
            </w:r>
            <w:r>
              <w:rPr>
                <w:rStyle w:val="DefaultParagraphFont"/>
                <w:rFonts w:ascii="Times New Roman" w:eastAsia="Times New Roman" w:hAnsi="Times New Roman" w:cs="Times New Roman"/>
                <w:b/>
                <w:bCs/>
                <w:szCs w:val="24"/>
              </w:rPr>
              <w:t>1600 проекта</w:t>
            </w:r>
            <w:r>
              <w:rPr>
                <w:rStyle w:val="DefaultParagraphFont"/>
                <w:rFonts w:ascii="Times New Roman" w:eastAsia="Times New Roman" w:hAnsi="Times New Roman" w:cs="Times New Roman"/>
                <w:szCs w:val="24"/>
              </w:rPr>
              <w:t xml:space="preserve"> за развитие на неземеделските сектори на икономиката, водещи до създаването на </w:t>
            </w:r>
            <w:r>
              <w:rPr>
                <w:rStyle w:val="DefaultParagraphFont"/>
                <w:rFonts w:ascii="Times New Roman" w:eastAsia="Times New Roman" w:hAnsi="Times New Roman" w:cs="Times New Roman"/>
                <w:b/>
                <w:bCs/>
                <w:szCs w:val="24"/>
              </w:rPr>
              <w:t>4 300 нови работни места</w:t>
            </w:r>
            <w:r>
              <w:rPr>
                <w:rStyle w:val="DefaultParagraphFont"/>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Style w:val="DefaultParagraphFont"/>
                <w:rFonts w:ascii="Times New Roman" w:eastAsia="Times New Roman" w:hAnsi="Times New Roman" w:cs="Times New Roman"/>
                <w:b/>
                <w:bCs/>
                <w:szCs w:val="24"/>
              </w:rPr>
              <w:t>1</w:t>
            </w: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995 хил. жители</w:t>
            </w:r>
            <w:r>
              <w:rPr>
                <w:rStyle w:val="DefaultParagraphFont"/>
                <w:rFonts w:ascii="Times New Roman" w:eastAsia="Times New Roman" w:hAnsi="Times New Roman" w:cs="Times New Roman"/>
                <w:szCs w:val="24"/>
              </w:rPr>
              <w:t xml:space="preserve">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Style w:val="DefaultParagraphFont"/>
                <w:rFonts w:ascii="Times New Roman" w:eastAsia="Times New Roman" w:hAnsi="Times New Roman" w:cs="Times New Roman"/>
                <w:b/>
                <w:bCs/>
                <w:szCs w:val="24"/>
              </w:rPr>
              <w:t>60 МИГ</w:t>
            </w:r>
            <w:r>
              <w:rPr>
                <w:rStyle w:val="DefaultParagraphFont"/>
                <w:rFonts w:ascii="Times New Roman" w:eastAsia="Times New Roman" w:hAnsi="Times New Roman" w:cs="Times New Roman"/>
                <w:szCs w:val="24"/>
              </w:rPr>
              <w:t xml:space="preserve">, обхващащи </w:t>
            </w:r>
            <w:r>
              <w:rPr>
                <w:rStyle w:val="DefaultParagraphFont"/>
                <w:rFonts w:ascii="Times New Roman" w:eastAsia="Times New Roman" w:hAnsi="Times New Roman" w:cs="Times New Roman"/>
                <w:b/>
                <w:bCs/>
                <w:szCs w:val="24"/>
              </w:rPr>
              <w:t>48%</w:t>
            </w:r>
            <w:r>
              <w:rPr>
                <w:rStyle w:val="DefaultParagraphFont"/>
                <w:rFonts w:ascii="Times New Roman" w:eastAsia="Times New Roman" w:hAnsi="Times New Roman" w:cs="Times New Roman"/>
                <w:szCs w:val="24"/>
              </w:rPr>
              <w:t xml:space="preserve">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84" w:name="_Toc256000084"/>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84"/>
    </w:p>
    <w:p>
      <w:pPr>
        <w:pStyle w:val="Heading3"/>
        <w:jc w:val="left"/>
        <w:rPr>
          <w:b w:val="0"/>
        </w:rPr>
      </w:pPr>
      <w:bookmarkStart w:id="85" w:name="_Toc256000085"/>
      <w:r>
        <w:rPr>
          <w:b w:val="0"/>
        </w:rPr>
        <w:t>P1: Стимулиране на трансфера на знания и иновациите в областта на селското и горското стопанство и селските райони</w:t>
      </w:r>
      <w:bookmarkEnd w:id="85"/>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2"/>
              </w:numPr>
              <w:rPr>
                <w:b w:val="0"/>
              </w:rPr>
            </w:pPr>
            <w:r>
              <w:rPr>
                <w:b w:val="0"/>
              </w:rPr>
              <w:t>М01 — Трансфер на знания и действия за осведомяване (член 14)</w:t>
            </w:r>
          </w:p>
          <w:p>
            <w:pPr>
              <w:numPr>
                <w:numId w:val="82"/>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2"/>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3"/>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4"/>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86" w:name="_Toc256000086"/>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86"/>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5"/>
              </w:numPr>
              <w:rPr>
                <w:b w:val="0"/>
              </w:rPr>
            </w:pPr>
            <w:r>
              <w:rPr>
                <w:b w:val="0"/>
              </w:rPr>
              <w:t>М01 — Трансфер на знания и действия за осведомяване (член 14)</w:t>
            </w:r>
          </w:p>
          <w:p>
            <w:pPr>
              <w:numPr>
                <w:numId w:val="85"/>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5"/>
              </w:numPr>
              <w:rPr>
                <w:b w:val="0"/>
              </w:rPr>
            </w:pPr>
            <w:r>
              <w:rPr>
                <w:b w:val="0"/>
              </w:rPr>
              <w:t>M04 — Инвестиции в материални активи (член 17)</w:t>
            </w:r>
          </w:p>
          <w:p>
            <w:pPr>
              <w:numPr>
                <w:numId w:val="85"/>
              </w:numPr>
              <w:rPr>
                <w:b w:val="0"/>
              </w:rPr>
            </w:pPr>
            <w:r>
              <w:rPr>
                <w:b w:val="0"/>
              </w:rPr>
              <w:t>M06 — Развитие на стопанства и предприятия (член 19)</w:t>
            </w:r>
          </w:p>
          <w:p>
            <w:pPr>
              <w:numPr>
                <w:numId w:val="85"/>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253 млн. евро публични разходи (9% от общия).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3500 стопанства и на нея е отделен 80% от бюджета на ПО2А.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109,93 млн. евро публични разходи, като по ПО 2А са програмирани 91% от тях. Основната част от средствата на подпрограмата са насочени към М06.3 – 60,9 млн.евро, като се цели подпомагане на около 4000 малки земеделски стопанства.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6"/>
              </w:numPr>
            </w:pPr>
            <w:r>
              <w:t>М01 — Трансфер на знания и действия за осведомяване (член 14)</w:t>
            </w:r>
          </w:p>
          <w:p>
            <w:pPr>
              <w:numPr>
                <w:numId w:val="86"/>
              </w:numPr>
            </w:pPr>
            <w:r>
              <w:t>М02 —  Консултантски услуги, услуги по управление на стопанство и услуги по заместване в стопанство (член 15)</w:t>
            </w:r>
          </w:p>
          <w:p>
            <w:pPr>
              <w:numPr>
                <w:numId w:val="86"/>
              </w:numPr>
            </w:pPr>
            <w:r>
              <w:t>M04 — Инвестиции в материални активи (член 17)</w:t>
            </w:r>
          </w:p>
          <w:p>
            <w:pPr>
              <w:numPr>
                <w:numId w:val="86"/>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100,9 млн. евро публични разходи (3,5% от общия). Основната част от бюджета (76,5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7"/>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120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18 000 000 евро публични разходи или 0.6% от бюджета на ПРСР.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87" w:name="_Toc256000087"/>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87"/>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8"/>
              </w:numPr>
              <w:rPr>
                <w:b w:val="0"/>
              </w:rPr>
            </w:pPr>
            <w:r>
              <w:rPr>
                <w:b w:val="0"/>
              </w:rPr>
              <w:t>М01 — Трансфер на знания и действия за осведомяване (член 14)</w:t>
            </w:r>
          </w:p>
          <w:p>
            <w:pPr>
              <w:numPr>
                <w:numId w:val="88"/>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8"/>
              </w:numPr>
              <w:rPr>
                <w:b w:val="0"/>
              </w:rPr>
            </w:pPr>
            <w:r>
              <w:rPr>
                <w:b w:val="0"/>
              </w:rPr>
              <w:t>M04 — Инвестиции в материални активи (член 17)</w:t>
            </w:r>
          </w:p>
          <w:p>
            <w:pPr>
              <w:numPr>
                <w:numId w:val="88"/>
              </w:numPr>
              <w:rPr>
                <w:b w:val="0"/>
              </w:rPr>
            </w:pPr>
            <w:r>
              <w:rPr>
                <w:b w:val="0"/>
              </w:rPr>
              <w:t>M06 — Развитие на стопанства и предприятия (член 19)</w:t>
            </w:r>
          </w:p>
          <w:p>
            <w:pPr>
              <w:numPr>
                <w:numId w:val="88"/>
              </w:numPr>
              <w:rPr>
                <w:b w:val="0"/>
              </w:rPr>
            </w:pPr>
            <w:r>
              <w:rPr>
                <w:b w:val="0"/>
              </w:rPr>
              <w:t>M09 — Създаване на групи и организации на производителите (член 27)</w:t>
            </w:r>
          </w:p>
          <w:p>
            <w:pPr>
              <w:numPr>
                <w:numId w:val="88"/>
              </w:numPr>
              <w:rPr>
                <w:b w:val="0"/>
              </w:rPr>
            </w:pPr>
            <w:r>
              <w:rPr>
                <w:b w:val="0"/>
              </w:rPr>
              <w:t>M14 — Хуманно отношение към животните (член 33)</w:t>
            </w:r>
          </w:p>
          <w:p>
            <w:pPr>
              <w:numPr>
                <w:numId w:val="88"/>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272,5 млн. евро или 9,3% от общия.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 1555 проекта, като тя има бюджет от 191,9 млн. евро публични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57 млн.евро. Целта е да бъдат подпомогнати над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9"/>
              </w:numPr>
            </w:pPr>
            <w:r>
              <w:t>М01 — Трансфер на знания и действия за осведомяване (член 14)</w:t>
            </w:r>
          </w:p>
          <w:p>
            <w:pPr>
              <w:numPr>
                <w:numId w:val="89"/>
              </w:numPr>
            </w:pPr>
            <w:r>
              <w:t>М02 —  Консултантски услуги, услуги по управление на стопанство и услуги по заместване в стопанство (член 15)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Индикативният бюджет на тази ПО е 37,1 млн. евро публични разходи или 1,4% от общия. Чрез М17 ще се подпомагат се финансовите вноски във взаимоспомагателни фондове за компенсиране на земеделските стопани за икономически загуби, причинени от неблагоприятни климатични явления или от поява на болест по животните или по растенията, или от нашествие на вредители или екологичен инцидент. Мярката ще започне да се прилага след извършване на анализ на ползите и разходите и приложимостта, на основата на който ще се разработи механизмът за прилагане. Индикативният бюджет на мярката е 36,7 млн. евро и е временно прикрепен към бюджета на М 04 по ПО2А.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88" w:name="_Toc256000088"/>
      <w:r>
        <w:rPr>
          <w:b w:val="0"/>
        </w:rPr>
        <w:t>P4: Възстановяване, опазване и укрепване на екосистемите, свързани със селското и горското стопанство</w:t>
      </w:r>
      <w:bookmarkEnd w:id="88"/>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0"/>
              </w:numPr>
              <w:rPr>
                <w:b w:val="0"/>
              </w:rPr>
            </w:pPr>
            <w:r>
              <w:rPr>
                <w:b w:val="0"/>
              </w:rPr>
              <w:t>М01 — Трансфер на знания и действия за осведомяване (член 14)</w:t>
            </w:r>
          </w:p>
          <w:p>
            <w:pPr>
              <w:numPr>
                <w:numId w:val="90"/>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0"/>
              </w:numPr>
              <w:rPr>
                <w:b w:val="0"/>
              </w:rPr>
            </w:pPr>
            <w:r>
              <w:rPr>
                <w:b w:val="0"/>
              </w:rPr>
              <w:t>M04 — Инвестиции в материални активи (член 17)</w:t>
            </w:r>
          </w:p>
          <w:p>
            <w:pPr>
              <w:numPr>
                <w:numId w:val="90"/>
              </w:numPr>
              <w:rPr>
                <w:b w:val="0"/>
              </w:rPr>
            </w:pPr>
            <w:r>
              <w:rPr>
                <w:b w:val="0"/>
              </w:rPr>
              <w:t>M10 — Агроекология и климат (член 28)</w:t>
            </w:r>
          </w:p>
          <w:p>
            <w:pPr>
              <w:numPr>
                <w:numId w:val="90"/>
              </w:numPr>
              <w:rPr>
                <w:b w:val="0"/>
              </w:rPr>
            </w:pPr>
            <w:r>
              <w:rPr>
                <w:b w:val="0"/>
              </w:rPr>
              <w:t>М11 — Биологично земеделие (член 29)</w:t>
            </w:r>
          </w:p>
          <w:p>
            <w:pPr>
              <w:numPr>
                <w:numId w:val="90"/>
              </w:numPr>
              <w:rPr>
                <w:b w:val="0"/>
              </w:rPr>
            </w:pPr>
            <w:r>
              <w:rPr>
                <w:b w:val="0"/>
              </w:rPr>
              <w:t>M12 — Плащания по „Натура 2000“ и Рамковата директива за водите (член 30)</w:t>
            </w:r>
          </w:p>
          <w:p>
            <w:pPr>
              <w:numPr>
                <w:numId w:val="90"/>
              </w:numPr>
              <w:rPr>
                <w:b w:val="0"/>
              </w:rPr>
            </w:pPr>
            <w:r>
              <w:rPr>
                <w:b w:val="0"/>
              </w:rPr>
              <w:t>М13 — Плащания за райони, изправени пред природни или други специфични ограничения (член 31)</w:t>
            </w:r>
          </w:p>
          <w:p>
            <w:pPr>
              <w:numPr>
                <w:numId w:val="90"/>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1"/>
              </w:numPr>
              <w:rPr>
                <w:b w:val="0"/>
              </w:rPr>
            </w:pPr>
            <w:r>
              <w:rPr>
                <w:b w:val="0"/>
              </w:rPr>
              <w:t>М08 — Инвестиции в развитие на горските райони и подобряване на жизнеспособността на горите (членове 21 — 26)</w:t>
            </w:r>
          </w:p>
          <w:p>
            <w:pPr>
              <w:numPr>
                <w:numId w:val="91"/>
              </w:numPr>
              <w:rPr>
                <w:b w:val="0"/>
              </w:rPr>
            </w:pPr>
            <w:r>
              <w:rPr>
                <w:b w:val="0"/>
              </w:rPr>
              <w:t>M12 — Плащания по „Натура 2000“ и Рамковата директива за водите (член 30)</w:t>
            </w:r>
          </w:p>
          <w:p>
            <w:pPr>
              <w:numPr>
                <w:numId w:val="91"/>
              </w:numPr>
              <w:rPr>
                <w:b w:val="0"/>
              </w:rPr>
            </w:pPr>
            <w:r>
              <w:rPr>
                <w:b w:val="0"/>
              </w:rP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Приоритет 4 е отделен бюджет от  983,1 млн. евро публични разходи или 33,7% от общия бюджет на Програмата. В рамките на приоритета са избрани: 1) мерки – М01, М02 и М16, които имат бюджет 16,9 млн. евро; 2)  мерки– М10, М11, М12,М13, с бюджет 780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158,2 млн. евро; 4) мерки за екосистемни услуги в горите, с бюджет 25,81 млн.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адресиране на потребностите на приоритетна област 4А са избрани 10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 и М15).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2"/>
              </w:numPr>
            </w:pPr>
            <w:r>
              <w:t>М01 — Трансфер на знания и действия за осведомяване (член 14)</w:t>
            </w:r>
          </w:p>
          <w:p>
            <w:pPr>
              <w:numPr>
                <w:numId w:val="92"/>
              </w:numPr>
            </w:pPr>
            <w:r>
              <w:t>М02 —  Консултантски услуги, услуги по управление на стопанство и услуги по заместване в стопанство (член 15)</w:t>
            </w:r>
          </w:p>
          <w:p>
            <w:pPr>
              <w:numPr>
                <w:numId w:val="92"/>
              </w:numPr>
            </w:pPr>
            <w:r>
              <w:t>M04 — Инвестиции в материални активи (член 17)</w:t>
            </w:r>
          </w:p>
          <w:p>
            <w:pPr>
              <w:numPr>
                <w:numId w:val="92"/>
              </w:numPr>
            </w:pPr>
            <w:r>
              <w:t>M10 — Агроекология и климат (член 28)</w:t>
            </w:r>
          </w:p>
          <w:p>
            <w:pPr>
              <w:numPr>
                <w:numId w:val="92"/>
              </w:numPr>
            </w:pPr>
            <w:r>
              <w:t>М11 — Биологично земеделие (член 29)</w:t>
            </w:r>
          </w:p>
          <w:p>
            <w:pPr>
              <w:numPr>
                <w:numId w:val="92"/>
              </w:numPr>
            </w:pPr>
            <w:r>
              <w:t>M12 — Плащания по „Натура 2000“ и Рамковата директива за водите (член 30)</w:t>
            </w:r>
          </w:p>
          <w:p>
            <w:pPr>
              <w:numPr>
                <w:numId w:val="92"/>
              </w:numPr>
            </w:pPr>
            <w:r>
              <w:t>М13 — Плащания за райони, изправени пред природни или други специфични ограничения (член 31)</w:t>
            </w:r>
          </w:p>
          <w:p>
            <w:pPr>
              <w:numPr>
                <w:numId w:val="92"/>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3"/>
              </w:numPr>
            </w:pPr>
            <w:r>
              <w:t>М08 — Инвестиции в развитие на горските райони и подобряване на жизнеспособността на горите (членове 21 — 26)</w:t>
            </w:r>
          </w:p>
          <w:p>
            <w:pPr>
              <w:numPr>
                <w:numId w:val="93"/>
              </w:numPr>
            </w:pPr>
            <w:r>
              <w:t>M12 — Плащания по „Натура 2000“ и Рамковата директива за водите (член 30)</w:t>
            </w:r>
          </w:p>
          <w:p>
            <w:pPr>
              <w:numPr>
                <w:numId w:val="93"/>
              </w:numPr>
            </w:pPr>
            <w: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4"/>
              </w:numPr>
            </w:pPr>
            <w:r>
              <w:t>М01 — Трансфер на знания и действия за осведомяване (член 14)</w:t>
            </w:r>
          </w:p>
          <w:p>
            <w:pPr>
              <w:numPr>
                <w:numId w:val="94"/>
              </w:numPr>
            </w:pPr>
            <w:r>
              <w:t>М02 —  Консултантски услуги, услуги по управление на стопанство и услуги по заместване в стопанство (член 15)</w:t>
            </w:r>
          </w:p>
          <w:p>
            <w:pPr>
              <w:numPr>
                <w:numId w:val="94"/>
              </w:numPr>
            </w:pPr>
            <w:r>
              <w:t>M04 — Инвестиции в материални активи (член 17)</w:t>
            </w:r>
          </w:p>
          <w:p>
            <w:pPr>
              <w:numPr>
                <w:numId w:val="94"/>
              </w:numPr>
            </w:pPr>
            <w:r>
              <w:t>M10 — Агроекология и климат (член 28)</w:t>
            </w:r>
          </w:p>
          <w:p>
            <w:pPr>
              <w:numPr>
                <w:numId w:val="94"/>
              </w:numPr>
            </w:pPr>
            <w:r>
              <w:t>М11 — Биологично земеделие (член 29)</w:t>
            </w:r>
          </w:p>
          <w:p>
            <w:pPr>
              <w:numPr>
                <w:numId w:val="94"/>
              </w:numPr>
            </w:pPr>
            <w:r>
              <w:t>M12 — Плащания по „Натура 2000“ и Рамковата директива за водите (член 30)</w:t>
            </w:r>
          </w:p>
          <w:p>
            <w:pPr>
              <w:numPr>
                <w:numId w:val="94"/>
              </w:numPr>
            </w:pPr>
            <w:r>
              <w:t>М13 — Плащания за райони, изправени пред природни или други специфични ограничения (член 31)</w:t>
            </w:r>
          </w:p>
          <w:p>
            <w:pPr>
              <w:numPr>
                <w:numId w:val="94"/>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5"/>
              </w:numPr>
            </w:pPr>
            <w:r>
              <w:t>М08 — Инвестиции в развитие на горските райони и подобряване на жизнеспособността на горите (членове 21 — 26)</w:t>
            </w:r>
          </w:p>
          <w:p>
            <w:pPr>
              <w:numPr>
                <w:numId w:val="95"/>
              </w:numPr>
            </w:pPr>
            <w:r>
              <w:t>M12 — Плащания по „Натура 2000“ и Рамковата директива за водите (член 30)</w:t>
            </w:r>
          </w:p>
          <w:p>
            <w:pPr>
              <w:numPr>
                <w:numId w:val="95"/>
              </w:numPr>
            </w:pPr>
            <w: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89" w:name="_Toc256000089"/>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89"/>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6"/>
              </w:numPr>
              <w:rPr>
                <w:b w:val="0"/>
              </w:rPr>
            </w:pPr>
            <w:r>
              <w:rPr>
                <w:b w:val="0"/>
              </w:rPr>
              <w:t>М01 — Трансфер на знания и действия за осведомяване (член 14)</w:t>
            </w:r>
          </w:p>
          <w:p>
            <w:pPr>
              <w:numPr>
                <w:numId w:val="96"/>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6"/>
              </w:numPr>
              <w:rPr>
                <w:b w:val="0"/>
              </w:rPr>
            </w:pPr>
            <w:r>
              <w:rPr>
                <w:b w:val="0"/>
              </w:rPr>
              <w:t>M04 — Инвестиции в материални активи (член 17)</w:t>
            </w:r>
          </w:p>
          <w:p>
            <w:pPr>
              <w:numPr>
                <w:numId w:val="96"/>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105 млн. евро публични разходи или 3,6% от общия.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 част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7"/>
              </w:numPr>
            </w:pPr>
            <w:r>
              <w:t>М01 — Трансфер на знания и действия за осведомяване (член 14)</w:t>
            </w:r>
          </w:p>
          <w:p>
            <w:pPr>
              <w:numPr>
                <w:numId w:val="97"/>
              </w:numPr>
            </w:pPr>
            <w:r>
              <w:t>М02 —  Консултантски услуги, услуги по управление на стопанство и услуги по заместване в стопанство (член 15)</w:t>
            </w:r>
          </w:p>
          <w:p>
            <w:pPr>
              <w:numPr>
                <w:numId w:val="97"/>
              </w:numPr>
            </w:pPr>
            <w:r>
              <w:t>M04 — Инвестиции в материални активи (член 17)</w:t>
            </w:r>
          </w:p>
          <w:p>
            <w:pPr>
              <w:numPr>
                <w:numId w:val="97"/>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123 млн.евро, или 4,2%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8"/>
              </w:numPr>
            </w:pPr>
            <w:r>
              <w:t>М01 — Трансфер на знания и действия за осведомяване (член 14)</w:t>
            </w:r>
          </w:p>
          <w:p>
            <w:pPr>
              <w:numPr>
                <w:numId w:val="98"/>
              </w:numPr>
            </w:pPr>
            <w:r>
              <w:t>М02 —  Консултантски услуги, услуги по управление на стопанство и услуги по заместване в стопанство (член 15)</w:t>
            </w:r>
          </w:p>
          <w:p>
            <w:pPr>
              <w:numPr>
                <w:numId w:val="98"/>
              </w:numPr>
            </w:pPr>
            <w:r>
              <w:t>M04 — Инвестиции в материални активи (член 17)</w:t>
            </w:r>
          </w:p>
          <w:p>
            <w:pPr>
              <w:numPr>
                <w:numId w:val="98"/>
              </w:numPr>
            </w:pPr>
            <w:r>
              <w:t>М07 — Основни услуги и обновяване на селата в селските райони (член 20)</w:t>
            </w:r>
          </w:p>
          <w:p>
            <w:pPr>
              <w:numPr>
                <w:numId w:val="98"/>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115,2 млн.евро или 4% от общия.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43,3 млн. евро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70 млн. евро публични разходи.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9"/>
              </w:numPr>
            </w:pPr>
            <w:r>
              <w:t>М01 — Трансфер на знания и действия за осведомяване (член 14)</w:t>
            </w:r>
          </w:p>
          <w:p>
            <w:pPr>
              <w:numPr>
                <w:numId w:val="99"/>
              </w:numPr>
            </w:pPr>
            <w:r>
              <w:t>М02 —  Консултантски услуги, услуги по управление на стопанство и услуги по заместване в стопанство (член 15)</w:t>
            </w:r>
          </w:p>
          <w:p>
            <w:pPr>
              <w:numPr>
                <w:numId w:val="99"/>
              </w:numPr>
            </w:pPr>
            <w:r>
              <w:t>M04 — Инвестиции в материални активи (член 17)</w:t>
            </w:r>
          </w:p>
          <w:p>
            <w:pPr>
              <w:numPr>
                <w:numId w:val="99"/>
              </w:numPr>
            </w:pPr>
            <w:r>
              <w:t>M10 — Агроекология и климат (член 28)</w:t>
            </w:r>
          </w:p>
          <w:p>
            <w:pPr>
              <w:numPr>
                <w:numId w:val="99"/>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55,8 млн.евро или 1,9% от бюджета на ПРСР.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Програмираният бюджет е 42,7 млн. евро или 77% от общия за ПО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7,000 ха, като на тази мярка е отделен 14% от бюджета на ПО 5Г (8 млн.евро).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0"/>
              </w:numPr>
            </w:pPr>
            <w:r>
              <w:t>М01 — Трансфер на знания и действия за осведомяване (член 14)</w:t>
            </w:r>
          </w:p>
          <w:p>
            <w:pPr>
              <w:numPr>
                <w:numId w:val="100"/>
              </w:numPr>
            </w:pPr>
            <w:r>
              <w:t>М02 —  Консултантски услуги, услуги по управление на стопанство и услуги по заместване в стопанство (член 15)</w:t>
            </w:r>
          </w:p>
          <w:p>
            <w:pPr>
              <w:numPr>
                <w:numId w:val="100"/>
              </w:numPr>
            </w:pPr>
            <w:r>
              <w:t>М08 — Инвестиции в развитие на горските райони и подобряване на жизнеспособността на горите (членове 21 — 26)</w:t>
            </w:r>
          </w:p>
          <w:p>
            <w:pPr>
              <w:numPr>
                <w:numId w:val="100"/>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31,2 млн. евро публични разходи, или 1,1%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90" w:name="_Toc256000090"/>
      <w:r>
        <w:rPr>
          <w:b w:val="0"/>
        </w:rPr>
        <w:t>P6: Насърчаване на социалното приобщаване, намаляването на бедността и икономическото развитие в селските райони</w:t>
      </w:r>
      <w:bookmarkEnd w:id="90"/>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1"/>
              </w:numPr>
              <w:rPr>
                <w:b w:val="0"/>
              </w:rPr>
            </w:pPr>
            <w:r>
              <w:rPr>
                <w:b w:val="0"/>
              </w:rP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127,9 млн.евро публични разходи или 4,4% от общите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М06.2 и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1600 проекта, водещи до създаване на 4300 работни места.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2"/>
              </w:numPr>
            </w:pPr>
            <w:r>
              <w:t>М07 — Основни услуги и обновяване на селата в селските райони (член 20)</w:t>
            </w:r>
          </w:p>
          <w:p>
            <w:pPr>
              <w:numPr>
                <w:numId w:val="102"/>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657,2 млн. евро или 22,5% от общите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131,5 млн.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3"/>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30 млн. евро или 1%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1" w:name="_Toc256000091"/>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Пряко адресирани</w:t>
            </w:r>
            <w:r>
              <w:rPr>
                <w:rStyle w:val="DefaultParagraphFont"/>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Интегрирани</w:t>
            </w:r>
            <w:r>
              <w:rPr>
                <w:rStyle w:val="DefaultParagraphFont"/>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Околна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34%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Приоритет 5, към който са насочени 15%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Климат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Програмирани са мерки по всички приоритетни области на Приоритет 5, на които се пада 15%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Програмата ще </w:t>
            </w:r>
            <w:r>
              <w:rPr>
                <w:rStyle w:val="DefaultParagraphFont"/>
                <w:rFonts w:ascii="Times New Roman" w:eastAsia="Times New Roman" w:hAnsi="Times New Roman" w:cs="Times New Roman"/>
                <w:szCs w:val="24"/>
                <w:u w:val="single"/>
              </w:rPr>
              <w:t>интегрира</w:t>
            </w:r>
            <w:r>
              <w:rPr>
                <w:rStyle w:val="DefaultParagraphFont"/>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Повишаване на информираността</w:t>
            </w:r>
            <w:r>
              <w:rPr>
                <w:rStyle w:val="DefaultParagraphFont"/>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Стимулиране на разработването</w:t>
            </w:r>
            <w:r>
              <w:rPr>
                <w:rStyle w:val="DefaultParagraphFont"/>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Приоритизиране на проектите</w:t>
            </w:r>
            <w:r>
              <w:rPr>
                <w:rStyle w:val="DefaultParagraphFont"/>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Мониторинг и оценка</w:t>
            </w:r>
            <w:r>
              <w:rPr>
                <w:rStyle w:val="DefaultParagraphFont"/>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Style w:val="DefaultParagraphFont"/>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Style w:val="DefaultParagraphFont"/>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2" w:name="_Toc256000092"/>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1"/>
        <w:gridCol w:w="6536"/>
        <w:gridCol w:w="849"/>
        <w:gridCol w:w="996"/>
        <w:gridCol w:w="114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bottom"/>
          </w:tcPr>
          <w:p>
            <w:pPr>
              <w:jc w:val="center"/>
              <w:rPr>
                <w:b w:val="0"/>
                <w:sz w:val="16"/>
              </w:rPr>
            </w:pPr>
            <w:r>
              <w:rPr>
                <w:b w:val="0"/>
                <w:sz w:val="16"/>
              </w:rPr>
              <w:t>Целева стойност 2023 г.</w:t>
            </w:r>
          </w:p>
        </w:tc>
        <w:tc>
          <w:tcPr>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2,67</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shd w:val="clear" w:color="auto" w:fill="FFFFFF"/>
            <w:noWrap w:val="0"/>
            <w:tcMar>
              <w:top w:w="20" w:type="dxa"/>
              <w:bottom w:w="20" w:type="dxa"/>
            </w:tcMar>
            <w:vAlign w:val="center"/>
          </w:tcPr>
          <w:p>
            <w:pPr>
              <w:spacing w:before="20" w:after="20"/>
              <w:jc w:val="right"/>
              <w:rPr>
                <w:b w:val="0"/>
                <w:sz w:val="16"/>
              </w:rPr>
            </w:pPr>
            <w:r>
              <w:rPr>
                <w:b w:val="0"/>
                <w:sz w:val="16"/>
              </w:rPr>
              <w:t>4 800,00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0,94</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253 067 467,60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shd w:val="clear" w:color="auto" w:fill="FFFFFF"/>
            <w:noWrap w:val="0"/>
            <w:tcMar>
              <w:top w:w="20" w:type="dxa"/>
              <w:bottom w:w="20" w:type="dxa"/>
            </w:tcMar>
            <w:vAlign w:val="center"/>
          </w:tcPr>
          <w:p>
            <w:pPr>
              <w:spacing w:before="20" w:after="20"/>
              <w:jc w:val="right"/>
              <w:rPr>
                <w:b w:val="0"/>
                <w:sz w:val="16"/>
              </w:rPr>
            </w:pPr>
            <w:r>
              <w:rPr>
                <w:b w:val="0"/>
                <w:sz w:val="16"/>
              </w:rPr>
              <w:t>0,83</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100 864 735,10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shd w:val="clear" w:color="auto" w:fill="FFFFFF"/>
            <w:noWrap w:val="0"/>
            <w:tcMar>
              <w:top w:w="20" w:type="dxa"/>
              <w:bottom w:w="20" w:type="dxa"/>
            </w:tcMar>
            <w:vAlign w:val="center"/>
          </w:tcPr>
          <w:p>
            <w:pPr>
              <w:spacing w:before="20" w:after="20"/>
              <w:jc w:val="right"/>
              <w:rPr>
                <w:b w:val="0"/>
                <w:sz w:val="16"/>
              </w:rPr>
            </w:pPr>
            <w:r>
              <w:rPr>
                <w:b w:val="0"/>
                <w:sz w:val="16"/>
              </w:rPr>
              <w:t>120,00</w:t>
            </w:r>
          </w:p>
        </w:tc>
        <w:tc>
          <w:tcPr>
            <w:shd w:val="clear" w:color="auto" w:fill="FFFFFF"/>
            <w:noWrap w:val="0"/>
            <w:tcMar>
              <w:top w:w="20" w:type="dxa"/>
              <w:bottom w:w="20" w:type="dxa"/>
            </w:tcMar>
            <w:vAlign w:val="center"/>
          </w:tcPr>
          <w:p>
            <w:pPr>
              <w:spacing w:before="20" w:after="20"/>
              <w:jc w:val="right"/>
              <w:rPr>
                <w:b w:val="0"/>
                <w:sz w:val="16"/>
              </w:rPr>
            </w:pPr>
            <w:r>
              <w:rPr>
                <w:b w:val="0"/>
                <w:sz w:val="16"/>
              </w:rPr>
              <w:t>18 000 000,00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shd w:val="clear" w:color="auto" w:fill="FFFFFF"/>
            <w:noWrap w:val="0"/>
            <w:tcMar>
              <w:top w:w="20" w:type="dxa"/>
              <w:bottom w:w="20" w:type="dxa"/>
            </w:tcMar>
            <w:vAlign w:val="center"/>
          </w:tcPr>
          <w:p>
            <w:pPr>
              <w:spacing w:before="20" w:after="20"/>
              <w:jc w:val="right"/>
              <w:rPr>
                <w:b w:val="0"/>
                <w:sz w:val="16"/>
              </w:rPr>
            </w:pPr>
            <w:r>
              <w:rPr>
                <w:b w:val="0"/>
                <w:sz w:val="16"/>
              </w:rPr>
              <w:t>0,12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272 554 037,20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shd w:val="clear" w:color="auto" w:fill="FFFFFF"/>
            <w:noWrap w:val="0"/>
            <w:tcMar>
              <w:top w:w="20" w:type="dxa"/>
              <w:bottom w:w="20" w:type="dxa"/>
            </w:tcMar>
            <w:vAlign w:val="center"/>
          </w:tcPr>
          <w:p>
            <w:pPr>
              <w:spacing w:before="20" w:after="20"/>
              <w:jc w:val="right"/>
              <w:rPr>
                <w:b w:val="0"/>
                <w:sz w:val="16"/>
              </w:rPr>
            </w:pPr>
            <w:r>
              <w:rPr>
                <w:b w:val="0"/>
                <w:sz w:val="16"/>
              </w:rPr>
              <w:t>350 000,00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12,00</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955 417 399,60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2,52</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1,18</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2,56</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27 680 623,20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 M15</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shd w:val="clear" w:color="auto" w:fill="FFFFFF"/>
            <w:noWrap w:val="0"/>
            <w:tcMar>
              <w:top w:w="20" w:type="dxa"/>
              <w:bottom w:w="20" w:type="dxa"/>
            </w:tcMar>
            <w:vAlign w:val="center"/>
          </w:tcPr>
          <w:p>
            <w:pPr>
              <w:spacing w:before="20" w:after="20"/>
              <w:jc w:val="left"/>
              <w:rPr>
                <w:b w:val="0"/>
                <w:sz w:val="16"/>
              </w:rPr>
            </w:pPr>
          </w:p>
        </w:tc>
        <w:tc>
          <w:tcPr>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r>
              <w:rPr>
                <w:b w:val="0"/>
                <w:sz w:val="16"/>
              </w:rPr>
              <w:t>2,31</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49,78</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105 286 971,10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216 674 111,30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123 152 677,90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149 544 703,80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115 211 488,70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1,58</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55 841 250,60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31 156 389,70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4 270,00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127 945 241,00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657 210 187,30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shd w:val="clear" w:color="auto" w:fill="FFFFFF"/>
            <w:noWrap w:val="0"/>
            <w:tcMar>
              <w:top w:w="20" w:type="dxa"/>
              <w:bottom w:w="20" w:type="dxa"/>
            </w:tcMar>
            <w:vAlign w:val="center"/>
          </w:tcPr>
          <w:p>
            <w:pPr>
              <w:spacing w:before="20" w:after="20"/>
              <w:jc w:val="right"/>
              <w:rPr>
                <w:b w:val="0"/>
                <w:sz w:val="16"/>
              </w:rPr>
            </w:pPr>
            <w:r>
              <w:rPr>
                <w:b w:val="0"/>
                <w:sz w:val="16"/>
              </w:rPr>
              <w:t>1,64</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30 000 000,00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3" w:name="_Toc256000093"/>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 НССЗ и БАБХ в т.ч.:</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планирани дейности 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 НССЗ и БАБХ.</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o   </w:t>
            </w:r>
            <w:r>
              <w:rPr>
                <w:rStyle w:val="DefaultParagraphFont"/>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o   </w:t>
            </w:r>
            <w:r>
              <w:rPr>
                <w:rStyle w:val="DefaultParagraphFont"/>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и храните.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o   </w:t>
            </w:r>
            <w:r>
              <w:rPr>
                <w:rStyle w:val="DefaultParagraphFont"/>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Операция 2.1.2 “Консултантски услуги за малки земеделски стопани” и за представяне на пакет А2Б на младите фермери по операция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и храните и съгласно чл. 3 и чл. 4 на Правилника за устройството и дейността на НССЗ, Министърът на земеделието и храните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НССЗ е единствената организация в структурата на МЗХ, специализирана в предоставянето на консултантски услуги на българските фермери, като консултациите обхващат широка проблематика. </w:t>
            </w:r>
            <w:r>
              <w:rPr>
                <w:rStyle w:val="DefaultParagraphFont"/>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Style w:val="DefaultParagraphFont"/>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94" w:name="_Toc256000094"/>
      <w:r>
        <w:t>Оценка на предварителните условия</w:t>
      </w:r>
      <w:bookmarkEnd w:id="94"/>
    </w:p>
    <w:p>
      <w:pPr>
        <w:pStyle w:val="Heading2"/>
      </w:pPr>
      <w:bookmarkStart w:id="95" w:name="_Toc256000095"/>
      <w:r>
        <w:t>Допълнителна информация</w:t>
      </w:r>
      <w:bookmarkEnd w:id="9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96" w:name="_Toc256000096"/>
      <w:r>
        <w:t>Предварителни условия</w:t>
      </w:r>
      <w:bookmarkEnd w:id="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05"/>
        <w:gridCol w:w="2804"/>
        <w:gridCol w:w="3505"/>
        <w:gridCol w:w="2804"/>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M17,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M12,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M06,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1A, 5E, 3A, 6C, 5D, 5A, 1C, 3B, 2A, 5B, 6A, 1B, 6B, 5C, 2B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M09, M06, M15, M14, M02, M11, M01, M13, M16, M08, M07, M10, M04, M12,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6B, 1C, 2A, 1A, 5C, 3B, 5A, 1B, 5D, 3A, 5E, 6C, 5B, 6A, 2B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M02, M19, M08, M10, M12, M16, M09, M14, M06, M13, M07, M01, M15, M11</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1A, 3A, 5E, 3B, 1C, 6A, 5D, 5A, 2A, 2B, 5B, 5C, 6C, 6B, 1B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M06, M13, M02, M11, M15, M10, M04, M09, M01, M16, M12, M19, M14,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 2A, 5C, 5B, 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M19, M02, M04, M08,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2A, 6A, 5A, 6C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M15, M01, M04, M19, M02, M06, M16,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 5C, 2A, 5B, 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M16, M04, M08, M02, M07,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 5C, 5A, 3A, 6A, 2A, 1B, 6C, 5B, 2B, 6B, 3B, 1C, 1A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M15, M14, M12, M06, M10, M01, M16, M19, M11, M02, M04, M08, M07, M09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3"/>
        <w:gridCol w:w="912"/>
        <w:gridCol w:w="312"/>
        <w:gridCol w:w="8893"/>
        <w:gridCol w:w="324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04"/>
              </w:numPr>
              <w:spacing w:before="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Стратегия за намаляване на риска от бедствия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http://www.nspbzn.mvr.bg/Strategicheski_dokumenti/default.htm</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05"/>
              </w:numPr>
              <w:spacing w:before="15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http://www.nspbzn.mvr.bg/Norm_uredba/drugi.htm</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http://www.nspbzn.mvr.bg/Norm_uredba/naredba_bedstvia.htm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06"/>
              </w:numPr>
              <w:spacing w:before="15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http://www.strategy.bg/StrategicDocuments/View.aspx?lang=bg-BG&amp;Id=550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http://www.strategy.bg/StrategicDocuments/View.aspx?lang=bg-BG&amp;Id=664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http://www.strategy.bg/Links.aspx?lang=bg-BG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http://www.bsbd.org/UserFiles//File/Copy%20of%20BSBD_PFRA_v2.pdf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http://www.bdibr.org/details.php?p_id=243&amp;id=276;</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Приета на заседание на МС на 27.11.2013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http://www.mzh.government.bg/MZH/bg/ShortLinks/cross.compliance/Gorskisector.aspx.</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http://www.nug.bg/docs/lang/1/cat/3/index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http://www.nug.bg/docs/lang/1/cat/3/index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http://www.farmer.bg/news_view.php?id=1905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http://www.strategy.bg/StrategicDocuments/View.aspx?lang=bg-BG&amp;Id=760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http://www.moew.government.bg/?show=html&amp;hid=180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Картографиране на свлачищата в страната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http://www.mzh.government.bg/MZH/bg/ShortLinks/cross_compliance.aspx</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http://www.seea.government.bg/documents/Naredba%207.pdf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http://www.mi.government.bg/bg/library/zakon-za-energetikata-256-c25-m258-2.html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ел. енергията – чл. 120 от ЗЕ;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http://www.mi.government.bg/bg/library/zakon-za-energetikata-256-c25-m258-2.html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Планове за управление на речните басейни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http://www3.moew.government.bg/?show=top&amp;cid=66&amp;lang=bg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водите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http://www3.moew.government.bg/files/file/Water/Legislation/Zakoni/ZAKON_za_vodite.pdf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Законодателство в областта на водния сектор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http://dker.bg/docsbg.php?d=8&amp;subD=30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22, чл. 23, чл. 27, чл. 29, чл. 52 на ЗЕВИ;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http://www.mi.government.bg/bg/library/zakon-za-energetikata-256-c25-m258-1.html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http://dker.bg/docsbg.php?d=8&amp;subD=30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http://www.strategy.bg/StrategicDocuments/View.aspx?lang=bg-BG&amp;Id=781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https://www.mtitc.government.bg/page.php?category=619&amp;id=7390.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-Комисия за защита от дискриминация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Съюза на юристите в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i/>
                <w:iCs/>
                <w:sz w:val="15"/>
                <w:szCs w:val="15"/>
              </w:rPr>
              <w:t>-</w:t>
            </w:r>
            <w:r>
              <w:rPr>
                <w:rStyle w:val="DefaultParagraphFont"/>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07"/>
              </w:numPr>
              <w:spacing w:before="15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07"/>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07"/>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07"/>
              </w:numPr>
              <w:spacing w:before="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тематични изследвания и анализи;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08"/>
              </w:numPr>
              <w:spacing w:before="15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09"/>
              </w:numPr>
              <w:spacing w:before="15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09"/>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09"/>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09"/>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09"/>
              </w:numPr>
              <w:spacing w:before="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http://www.government.bg/cgi-bin/e-cms/vis/vis.pl?s=001&amp;p=0211&amp;n=99&amp;g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Приета с РМС № 498/11.07.2014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прилагане на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за провеждане на конкурси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по чл. 13, ал. 3 от Закона за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http://www.aop.bg/fckedit2/user/File/bg/Normativna%20baza/ZOP_15_02_2013.pdf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http://www.aop.bg/fckedit2/user/File/bg/Normativna%20baza/PPZOP_09032012.pdf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http://www.aop.bg/fckedit2/user/File/bg/Normativna%20baza/Naredba_konkursi.pdf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http://www.aop.bg/fckedit2/user/File/bg/Normativna%20baza/Naredba_27082013.pdf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•АОП - национален орган, който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•УО на ОП, които също осъществяват</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http://www.aop.bg/fckedit2/user/File/bg/Normativna%20baza/ZOP_15_02_2013.pdf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http://www.minfin.bg/bg/page/10?q=%D0%94%D0%9D%D0%A4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http://www.aop.bg/fckedit2/user/File/bg/Normativna%20baza/ZOP_15_02_2013.pdf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http://rop3-app1.aop.bg:7778/portal/page?_pageid=93,408251&amp;_dad=portal&amp;_schema=PORTAL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http://www.aop.bg/fckedit2/user/File/bg/Normativna%20baza/ZOP_15_02_2013.pdf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http://www.aop.bg/fckedit2/user/File/bg/Normativna%20baza/PPZOP_09032012.pdf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Регистъра на обществените поръчки (РОП);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публикуваните публични покани;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друга информация.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http://rop3-app1.aop.bg:7778/portal/page?_pageid=93,168247&amp;_dad=portal&amp;_schema=PORTAL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По-важните от тях са: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http://stateaid.minfin.bg/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10"/>
              </w:numPr>
              <w:spacing w:before="150" w:after="15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11"/>
              </w:numPr>
              <w:spacing w:before="150" w:after="15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(ПМС  26/2007, изм. ПМС 97/2007, ПМС 10/2009, ПМС 3/2010)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12"/>
              </w:numPr>
              <w:spacing w:before="150" w:after="15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Източници на специализирана информация:</w:t>
            </w:r>
          </w:p>
          <w:p>
            <w:pPr>
              <w:numPr>
                <w:ilvl w:val="0"/>
                <w:numId w:val="113"/>
              </w:numPr>
              <w:spacing w:before="150" w:after="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http://stateaid.minfin.bg/ </w:t>
            </w:r>
          </w:p>
          <w:p>
            <w:pPr>
              <w:numPr>
                <w:ilvl w:val="0"/>
                <w:numId w:val="113"/>
              </w:numPr>
              <w:spacing w:before="0" w:after="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http://minimis.minfin.bg/ </w:t>
            </w:r>
          </w:p>
          <w:p>
            <w:pPr>
              <w:numPr>
                <w:ilvl w:val="0"/>
                <w:numId w:val="113"/>
              </w:numPr>
              <w:spacing w:before="0" w:after="15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http://www.minfin.bg/en/page/12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14"/>
              </w:numPr>
              <w:spacing w:before="15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14"/>
              </w:numPr>
              <w:spacing w:before="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http://stateaid.minfin.bg/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http://www3.moew.government.bg/files/file/Industry/Legislation/Zakoni/ZOOS.pdf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http://www.moew.government.bg/?show=top&amp;cid=233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http://www.moew.government.bg/?show=top&amp;cid=233&amp;lang=en</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 е общ електронен адрес 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http://www.moew.government.bg/?show=top&amp;cid=233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http://www.moew.government.bg/?show=164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http://www.nsi.bg/files/Quality/1.1.%20CoP_ALL_BG.pdf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http://www.nsi.bg/files/Quality/QUALITY_NSI_Declaration.pdf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статистиката: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http://www.nsi.bg/dokument.php?P=64&amp;SP=102&amp;NSP=1#cont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http://www.nsi.bg/files/Quality/1.1.%20CoP_ALL_BG.pdf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http://www.nsi.bg/files/Quality/QUALITY_NSI_Declaration.pdf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статистиката: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http://www.nsi.bg/dokument.php?P=64&amp;SP=102&amp;NSP=1#cont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http://www.nsi.bg/img/uplf/StdInd2013.pdf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http://www.nsi.bg/img/uplf_e/StdInd2013_en.pdf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http://www.nsi.bg/files/Quality/1.1.%20CoP_ALL_BG.pdf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http://www.nsi.bg/files/Quality/QUALITY_NSI_Declaration.pdf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статистиката: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http://www.nsi.bg/dokument.php?P=64&amp;SP=102&amp;NSP=1#cont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http://www.nsi.bg/files/Quality/1.1.%20CoP_ALL_BG.pdf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http://www.nsi.bg/files/Quality/QUALITY_NSI_Declaration.pdf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статистиката: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http://www.nsi.bg/dokument.php?P=64&amp;SP=102&amp;NSP=1#cont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97" w:name="_Toc256000097"/>
      <w:r>
        <w:rPr>
          <w:b w:val="0"/>
        </w:rPr>
        <w:t>Списък на действията, които да бъдат предприети за общите предварителни условия</w:t>
      </w:r>
      <w:bookmarkEnd w:id="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04"/>
        <w:gridCol w:w="2804"/>
        <w:gridCol w:w="2804"/>
        <w:gridCol w:w="2804"/>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вж. Приложение 3, р-л 6.3 )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b/>
                <w:bCs/>
                <w:sz w:val="15"/>
                <w:szCs w:val="15"/>
              </w:rPr>
              <w:t>Специфични действия за ПРСР: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98" w:name="_Toc256000098"/>
      <w:r>
        <w:rPr>
          <w:b w:val="0"/>
        </w:rPr>
        <w:t>Списък на действията, които да бъдат предприети  предварителните условия, свързани с приоритети</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68"/>
        <w:gridCol w:w="2439"/>
        <w:gridCol w:w="4363"/>
        <w:gridCol w:w="2356"/>
        <w:gridCol w:w="239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2.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3.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4.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5.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Картографиране на рисковете от бедствия.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Междинни стъпки:</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Проект на програма от мерки за всеки РБУ – 2015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допълнителна информация Виж приложение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5.</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6.</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7.</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8.</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b/>
                <w:bCs/>
                <w:sz w:val="15"/>
                <w:szCs w:val="15"/>
              </w:rPr>
              <w:t> Хидромелиорации: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https://www.mtitc.government.bg/page.php?category=466&amp;id=7725</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99" w:name="_Toc256000099"/>
      <w:r>
        <w:t>Описание на рамката на изпълнението</w:t>
      </w:r>
      <w:bookmarkEnd w:id="99"/>
    </w:p>
    <w:p>
      <w:pPr>
        <w:pStyle w:val="Heading2"/>
      </w:pPr>
      <w:bookmarkStart w:id="100" w:name="_Toc256000100"/>
      <w:r>
        <w:t>Показатели</w:t>
      </w:r>
      <w:bookmarkEnd w:id="1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795"/>
        <w:gridCol w:w="1647"/>
        <w:gridCol w:w="3140"/>
        <w:gridCol w:w="1294"/>
        <w:gridCol w:w="2011"/>
        <w:gridCol w:w="1400"/>
        <w:gridCol w:w="17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2023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rPr>
            </w:pPr>
            <w:r>
              <w:rPr>
                <w:b/>
              </w:rPr>
              <w:t>Етапна цел 2018 г. % (в)</w:t>
            </w:r>
          </w:p>
        </w:tc>
        <w:tc>
          <w:tcPr>
            <w:tcW w:w="1000" w:type="pct"/>
            <w:shd w:val="clear" w:color="auto" w:fill="C0C0C0"/>
            <w:noWrap w:val="0"/>
            <w:tcMar>
              <w:top w:w="20" w:type="dxa"/>
              <w:bottom w:w="20" w:type="dxa"/>
            </w:tcMar>
            <w:vAlign w:val="center"/>
          </w:tcPr>
          <w:p>
            <w:pPr>
              <w:jc w:val="left"/>
              <w:rPr>
                <w:b w:val="0"/>
              </w:rPr>
            </w:pPr>
            <w:r>
              <w:rPr>
                <w:b/>
              </w:rPr>
              <w:t>Абсолютна стойност на етапната цел (а-б) * в</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6 560,00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1 640,00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371 932 202,70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92 983 050,68</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272 904 037,20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54 580 807,44</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450,00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90,00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left"/>
            </w:pPr>
          </w:p>
        </w:tc>
        <w:tc>
          <w:tcPr>
            <w:tcW w:w="800" w:type="pct"/>
            <w:shd w:val="clear" w:color="auto" w:fill="FFFFFF"/>
            <w:noWrap w:val="0"/>
            <w:tcMar>
              <w:top w:w="20" w:type="dxa"/>
              <w:bottom w:w="20" w:type="dxa"/>
            </w:tcMar>
            <w:vAlign w:val="center"/>
          </w:tcPr>
          <w:p>
            <w:pPr>
              <w:jc w:val="left"/>
            </w:pPr>
          </w:p>
        </w:tc>
        <w:tc>
          <w:tcPr>
            <w:tcW w:w="400" w:type="pct"/>
            <w:shd w:val="clear" w:color="auto" w:fill="FFFFFF"/>
            <w:noWrap w:val="0"/>
            <w:tcMar>
              <w:top w:w="20" w:type="dxa"/>
              <w:bottom w:w="20" w:type="dxa"/>
            </w:tcMar>
            <w:vAlign w:val="center"/>
          </w:tcPr>
          <w:p>
            <w:pPr>
              <w:jc w:val="left"/>
            </w:pPr>
            <w:r>
              <w:t>30%</w:t>
            </w:r>
          </w:p>
        </w:tc>
        <w:tc>
          <w:tcPr>
            <w:tcW w:w="800" w:type="pct"/>
            <w:shd w:val="clear" w:color="auto" w:fill="FFFFFF"/>
            <w:noWrap w:val="0"/>
            <w:tcMar>
              <w:top w:w="20" w:type="dxa"/>
              <w:bottom w:w="20" w:type="dxa"/>
            </w:tcMar>
            <w:vAlign w:val="center"/>
          </w:tcPr>
          <w:p>
            <w:pPr>
              <w:jc w:val="left"/>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983 098 022,80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196 619 604,56</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604 000,00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60%</w:t>
            </w:r>
          </w:p>
        </w:tc>
        <w:tc>
          <w:tcPr>
            <w:tcW w:w="800" w:type="pct"/>
            <w:shd w:val="clear" w:color="auto" w:fill="FFFFFF"/>
            <w:noWrap w:val="0"/>
            <w:tcMar>
              <w:top w:w="20" w:type="dxa"/>
              <w:bottom w:w="20" w:type="dxa"/>
            </w:tcMar>
            <w:vAlign w:val="center"/>
          </w:tcPr>
          <w:p>
            <w:pPr>
              <w:jc w:val="right"/>
            </w:pPr>
            <w:r>
              <w:t>362 400,00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430 648 778,00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35%</w:t>
            </w:r>
          </w:p>
        </w:tc>
        <w:tc>
          <w:tcPr>
            <w:tcW w:w="800" w:type="pct"/>
            <w:shd w:val="clear" w:color="auto" w:fill="FFFFFF"/>
            <w:noWrap w:val="0"/>
            <w:tcMar>
              <w:top w:w="20" w:type="dxa"/>
              <w:bottom w:w="20" w:type="dxa"/>
            </w:tcMar>
            <w:vAlign w:val="center"/>
          </w:tcPr>
          <w:p>
            <w:pPr>
              <w:jc w:val="right"/>
            </w:pPr>
            <w:r>
              <w:t>150 727 072,30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52 770,00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13 192,50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840,00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168,00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815 155 428,30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203 788 857,08</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939,00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234,75</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100%</w:t>
            </w: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1" w:name="_Toc256000101"/>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1"/>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2023 г. (а): </w:t>
      </w:r>
      <w:r>
        <w:t>6 560,00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1 640,00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Общо публични разходи П2 (в евро)</w:t>
      </w:r>
    </w:p>
    <w:p>
      <w:r>
        <w:t xml:space="preserve">Applicable: </w:t>
      </w:r>
      <w:r>
        <w:t>Да</w:t>
      </w:r>
    </w:p>
    <w:p>
      <w:r>
        <w:t xml:space="preserve">Цел за 2023 г. (а): </w:t>
      </w:r>
      <w:r>
        <w:t>371 932 202,70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92 983 050,68</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102" w:name="_Toc256000102"/>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2"/>
    </w:p>
    <w:p>
      <w:pPr>
        <w:pStyle w:val="Heading4"/>
        <w:jc w:val="left"/>
        <w:rPr>
          <w:b w:val="0"/>
        </w:rPr>
      </w:pPr>
      <w:r>
        <w:rPr>
          <w:b w:val="0"/>
        </w:rPr>
        <w:t>Общо публични разходи П3 (в евро)</w:t>
      </w:r>
    </w:p>
    <w:p>
      <w:r>
        <w:rPr>
          <w:b w:val="0"/>
        </w:rPr>
        <w:t xml:space="preserve">Applicable: </w:t>
      </w:r>
      <w:r>
        <w:t>Да</w:t>
      </w:r>
    </w:p>
    <w:p>
      <w:r>
        <w:t xml:space="preserve">Цел за 2023 г. (а): </w:t>
      </w:r>
      <w:r>
        <w:t>272 904 037,20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54 580 807,44</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2023 г. (а): </w:t>
      </w:r>
      <w:r>
        <w:t>450,00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90,00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2023 г. (а): </w:t>
      </w:r>
      <w:r>
        <w:t>0,00</w:t>
      </w:r>
    </w:p>
    <w:p>
      <w:r>
        <w:t xml:space="preserve">Корекции за допълнителни плащания (б): </w:t>
      </w:r>
    </w:p>
    <w:p>
      <w:r>
        <w:t xml:space="preserve">Етапна цел 2018 г. % (в): </w:t>
      </w:r>
      <w:r>
        <w:t>30%</w:t>
      </w:r>
    </w:p>
    <w:p>
      <w:r>
        <w:t xml:space="preserve">Абсолютна стойност на етапната цел (а-б) * в: </w:t>
      </w:r>
      <w:r>
        <w:t>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tc>
      </w:tr>
    </w:tbl>
    <w:p>
      <w:pPr>
        <w:pStyle w:val="Heading3"/>
        <w:jc w:val="left"/>
        <w:rPr>
          <w:b w:val="0"/>
        </w:rPr>
      </w:pPr>
      <w:bookmarkStart w:id="103" w:name="_Toc256000103"/>
      <w:r>
        <w:rPr>
          <w:b w:val="0"/>
        </w:rPr>
        <w:t>P4: Възстановяване, опазване и укрепване на екосистемите, свързани със селското и горското стопанство</w:t>
      </w:r>
      <w:bookmarkEnd w:id="103"/>
    </w:p>
    <w:p>
      <w:pPr>
        <w:pStyle w:val="Heading4"/>
        <w:jc w:val="left"/>
        <w:rPr>
          <w:b w:val="0"/>
        </w:rPr>
      </w:pPr>
      <w:r>
        <w:rPr>
          <w:b w:val="0"/>
        </w:rPr>
        <w:t>Общо публични разходи П4 (в евро)</w:t>
      </w:r>
    </w:p>
    <w:p>
      <w:r>
        <w:rPr>
          <w:b w:val="0"/>
        </w:rPr>
        <w:t xml:space="preserve">Applicable: </w:t>
      </w:r>
      <w:r>
        <w:t>Да</w:t>
      </w:r>
    </w:p>
    <w:p>
      <w:r>
        <w:t xml:space="preserve">Цел за 2023 г. (а): </w:t>
      </w:r>
      <w:r>
        <w:t>983 098 022,80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196 619 604,56</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2023 г. (а): </w:t>
      </w:r>
      <w:r>
        <w:t>604 000,00</w:t>
      </w:r>
    </w:p>
    <w:p>
      <w:r>
        <w:t xml:space="preserve">Корекции за допълнителни плащания (б): </w:t>
      </w:r>
    </w:p>
    <w:p>
      <w:r>
        <w:t xml:space="preserve">Етапна цел 2018 г. % (в): </w:t>
      </w:r>
      <w:r>
        <w:t>60%</w:t>
      </w:r>
    </w:p>
    <w:p>
      <w:r>
        <w:t xml:space="preserve">Абсолютна стойност на етапната цел (а-б) * в: </w:t>
      </w:r>
      <w:r>
        <w:t>362 400,00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104" w:name="_Toc256000104"/>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04"/>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2023 г. (а): </w:t>
      </w:r>
      <w:r>
        <w:t>430 648 778,00</w:t>
      </w:r>
    </w:p>
    <w:p>
      <w:r>
        <w:t xml:space="preserve">Корекции за допълнителни плащания (б): </w:t>
      </w:r>
    </w:p>
    <w:p>
      <w:r>
        <w:t xml:space="preserve">Етапна цел 2018 г. % (в): </w:t>
      </w:r>
      <w:r>
        <w:t>35%</w:t>
      </w:r>
    </w:p>
    <w:p>
      <w:r>
        <w:t xml:space="preserve">Абсолютна стойност на етапната цел (а-б) * в: </w:t>
      </w:r>
      <w:r>
        <w:t>150 727 072,30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2023 г. (а): </w:t>
      </w:r>
      <w:r>
        <w:t>52 770,00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13 192,50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2023 г. (а): </w:t>
      </w:r>
      <w:r>
        <w:t>840,00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168,00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105" w:name="_Toc256000105"/>
      <w:r>
        <w:rPr>
          <w:b w:val="0"/>
        </w:rPr>
        <w:t>P6: Насърчаване на социалното приобщаване, намаляването на бедността и икономическото развитие в селските райони</w:t>
      </w:r>
      <w:bookmarkEnd w:id="105"/>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2023 г. (а): </w:t>
      </w:r>
      <w:r>
        <w:t>815 155 428,30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203 788 857,08</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2023 г. (а): </w:t>
      </w:r>
      <w:r>
        <w:t>939,00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234,75</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2023 г. (а): </w:t>
      </w:r>
      <w:r>
        <w:t>1 370 000,00</w:t>
      </w:r>
    </w:p>
    <w:p>
      <w:r>
        <w:t xml:space="preserve">Корекции за допълнителни плащания (б): </w:t>
      </w:r>
    </w:p>
    <w:p>
      <w:r>
        <w:t xml:space="preserve">Етапна цел 2018 г. % (в): </w:t>
      </w:r>
      <w:r>
        <w:t>100%</w:t>
      </w:r>
    </w:p>
    <w:p>
      <w:r>
        <w:t xml:space="preserve">Абсолютна стойност на етапната цел (а-б) * в: </w:t>
      </w:r>
      <w:r>
        <w:t>1 370 000,00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sectPr>
          <w:type w:val="nextPage"/>
          <w:pgSz w:w="12240" w:h="15840" w:orient="portrait"/>
          <w:pgMar w:top="900" w:right="900" w:bottom="900" w:left="900" w:header="720" w:footer="720"/>
          <w:cols w:space="720"/>
        </w:sectPr>
      </w:pPr>
    </w:p>
    <w:p>
      <w:pPr>
        <w:pStyle w:val="Heading2"/>
      </w:pPr>
      <w:bookmarkStart w:id="106" w:name="_Toc256000106"/>
      <w:r>
        <w:t>Алтернативни 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41"/>
        <w:gridCol w:w="1856"/>
        <w:gridCol w:w="2380"/>
        <w:gridCol w:w="1664"/>
        <w:gridCol w:w="2054"/>
        <w:gridCol w:w="1722"/>
        <w:gridCol w:w="19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2023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rPr>
            </w:pPr>
            <w:r>
              <w:rPr>
                <w:b/>
              </w:rPr>
              <w:t>Етапна цел 2018 г. % (в)</w:t>
            </w:r>
          </w:p>
        </w:tc>
        <w:tc>
          <w:tcPr>
            <w:tcW w:w="800" w:type="pct"/>
            <w:shd w:val="clear" w:color="auto" w:fill="C0C0C0"/>
            <w:noWrap w:val="0"/>
            <w:tcMar>
              <w:top w:w="20" w:type="dxa"/>
              <w:bottom w:w="20" w:type="dxa"/>
            </w:tcMar>
            <w:vAlign w:val="center"/>
          </w:tcPr>
          <w:p>
            <w:pPr>
              <w:jc w:val="left"/>
              <w:rPr>
                <w:b w:val="0"/>
              </w:rPr>
            </w:pPr>
            <w:r>
              <w:rPr>
                <w:b/>
              </w:rPr>
              <w:t>Абсолютна стойност на етапната цел (а-б) * в</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змеделска продукция</w:t>
            </w:r>
          </w:p>
        </w:tc>
        <w:tc>
          <w:tcPr>
            <w:tcW w:w="800" w:type="pct"/>
            <w:shd w:val="clear" w:color="auto" w:fill="FFFFFF"/>
            <w:noWrap w:val="0"/>
            <w:tcMar>
              <w:top w:w="20" w:type="dxa"/>
              <w:bottom w:w="20" w:type="dxa"/>
            </w:tcMar>
            <w:vAlign w:val="center"/>
          </w:tcPr>
          <w:p>
            <w:pPr>
              <w:jc w:val="right"/>
            </w:pPr>
            <w:r>
              <w:t>1 555,00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311,00</w:t>
            </w:r>
          </w:p>
        </w:tc>
      </w:tr>
    </w:tbl>
    <w:p>
      <w:pPr>
        <w:rPr>
          <w:b/>
        </w:rPr>
      </w:pPr>
    </w:p>
    <w:p>
      <w:pPr>
        <w:pStyle w:val="Heading3"/>
        <w:jc w:val="left"/>
        <w:rPr>
          <w:b w:val="0"/>
        </w:rPr>
      </w:pPr>
      <w:bookmarkStart w:id="107" w:name="_Toc256000107"/>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7"/>
    </w:p>
    <w:p>
      <w:pPr>
        <w:pStyle w:val="Heading4"/>
        <w:jc w:val="left"/>
        <w:rPr>
          <w:b w:val="0"/>
        </w:rPr>
      </w:pPr>
      <w:r>
        <w:rPr>
          <w:b w:val="0"/>
        </w:rPr>
        <w:t>Брой операции  подпомогнати по M4 "Инвестиции във физически активи" за преработка и маркетинг на змеделска продукция</w:t>
      </w:r>
    </w:p>
    <w:p>
      <w:r>
        <w:rPr>
          <w:b w:val="0"/>
        </w:rPr>
        <w:t xml:space="preserve">Applicable: </w:t>
      </w:r>
      <w:r>
        <w:t>Да</w:t>
      </w:r>
    </w:p>
    <w:p>
      <w:r>
        <w:t xml:space="preserve">Цел за 2023 г. (а): </w:t>
      </w:r>
      <w:r>
        <w:t>1 555,00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311,00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40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w:t>
            </w:r>
          </w:p>
        </w:tc>
      </w:tr>
    </w:tbl>
    <w:p>
      <w:pPr>
        <w:pStyle w:val="Heading2"/>
      </w:pPr>
      <w:r>
        <w:br w:type="page"/>
      </w:r>
      <w:bookmarkStart w:id="108" w:name="_Toc256000108"/>
      <w:r>
        <w:t>Резерв</w:t>
      </w:r>
      <w:bookmarkEnd w:id="1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839"/>
        <w:gridCol w:w="1795"/>
        <w:gridCol w:w="1853"/>
        <w:gridCol w:w="1853"/>
        <w:gridCol w:w="1540"/>
        <w:gridCol w:w="1629"/>
        <w:gridCol w:w="151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jc w:val="left"/>
              <w:rPr>
                <w:b/>
              </w:rPr>
            </w:pPr>
            <w:r>
              <w:rPr>
                <w:b/>
              </w:rPr>
              <w:t>Общо планирано участие от Съюза (в евро)</w:t>
            </w:r>
          </w:p>
        </w:tc>
        <w:tc>
          <w:tcPr>
            <w:tcW w:w="850" w:type="pct"/>
            <w:shd w:val="clear" w:color="auto" w:fill="C0C0C0"/>
            <w:noWrap w:val="0"/>
            <w:tcMar>
              <w:top w:w="20" w:type="dxa"/>
              <w:bottom w:w="20" w:type="dxa"/>
            </w:tcMar>
            <w:vAlign w:val="center"/>
          </w:tcPr>
          <w:p>
            <w:pPr>
              <w:jc w:val="left"/>
              <w:rPr>
                <w:b/>
              </w:rPr>
            </w:pPr>
            <w:r>
              <w:rPr>
                <w:b/>
              </w:rPr>
              <w:t>Общо планирано участие от Съюза (в евро), от което се заделят средства за резерва за изпълнение</w:t>
            </w:r>
          </w:p>
        </w:tc>
        <w:tc>
          <w:tcPr>
            <w:tcW w:w="850" w:type="pct"/>
            <w:shd w:val="clear" w:color="auto" w:fill="C0C0C0"/>
            <w:noWrap w:val="0"/>
            <w:tcMar>
              <w:top w:w="20" w:type="dxa"/>
              <w:bottom w:w="20" w:type="dxa"/>
            </w:tcMar>
            <w:vAlign w:val="center"/>
          </w:tcPr>
          <w:p>
            <w:pPr>
              <w:jc w:val="left"/>
              <w:rPr>
                <w:b/>
              </w:rPr>
            </w:pPr>
            <w:r>
              <w:rPr>
                <w:b/>
              </w:rPr>
              <w:t>Резерв за изпълнение (в евро)</w:t>
            </w:r>
          </w:p>
        </w:tc>
        <w:tc>
          <w:tcPr>
            <w:tcW w:w="450" w:type="pct"/>
            <w:shd w:val="clear" w:color="auto" w:fill="C0C0C0"/>
            <w:noWrap w:val="0"/>
            <w:tcMar>
              <w:top w:w="20" w:type="dxa"/>
              <w:bottom w:w="20" w:type="dxa"/>
            </w:tcMar>
            <w:vAlign w:val="center"/>
          </w:tcPr>
          <w:p>
            <w:pPr>
              <w:jc w:val="left"/>
              <w:rPr>
                <w:b/>
              </w:rPr>
            </w:pPr>
            <w:r>
              <w:rPr>
                <w:b/>
              </w:rPr>
              <w:t>Минимален размер на резерва за изпълнение (минимум 5 %)</w:t>
            </w:r>
          </w:p>
        </w:tc>
        <w:tc>
          <w:tcPr>
            <w:tcW w:w="450" w:type="pct"/>
            <w:shd w:val="clear" w:color="auto" w:fill="C0C0C0"/>
            <w:noWrap w:val="0"/>
            <w:tcMar>
              <w:top w:w="20" w:type="dxa"/>
              <w:bottom w:w="20" w:type="dxa"/>
            </w:tcMar>
            <w:vAlign w:val="center"/>
          </w:tcPr>
          <w:p>
            <w:pPr>
              <w:jc w:val="left"/>
              <w:rPr>
                <w:b/>
              </w:rPr>
            </w:pPr>
            <w:r>
              <w:rPr>
                <w:b/>
              </w:rPr>
              <w:t>Максимален размер на резерва за изпълнение (максимум 7 %)</w:t>
            </w:r>
          </w:p>
        </w:tc>
        <w:tc>
          <w:tcPr>
            <w:tcW w:w="450" w:type="pct"/>
            <w:shd w:val="clear" w:color="auto" w:fill="C0C0C0"/>
            <w:noWrap w:val="0"/>
            <w:tcMar>
              <w:top w:w="20" w:type="dxa"/>
              <w:bottom w:w="20" w:type="dxa"/>
            </w:tcMar>
            <w:vAlign w:val="center"/>
          </w:tcPr>
          <w:p>
            <w:pPr>
              <w:jc w:val="left"/>
              <w:rPr>
                <w:b w:val="0"/>
              </w:rPr>
            </w:pPr>
            <w:r>
              <w:rPr>
                <w:b/>
              </w:rPr>
              <w:t>Процент на резерва за изпълнение</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450" w:type="pct"/>
            <w:shd w:val="clear" w:color="auto" w:fill="FFFFFF"/>
            <w:noWrap w:val="0"/>
            <w:tcMar>
              <w:top w:w="20" w:type="dxa"/>
              <w:bottom w:w="20" w:type="dxa"/>
            </w:tcMar>
            <w:vAlign w:val="center"/>
          </w:tcPr>
          <w:p>
            <w:pPr>
              <w:jc w:val="right"/>
              <w:rPr>
                <w:b w:val="0"/>
              </w:rPr>
            </w:pPr>
            <w:r>
              <w:rPr>
                <w:b w:val="0"/>
              </w:rPr>
              <w:t>320 706 912,00</w:t>
            </w:r>
          </w:p>
        </w:tc>
        <w:tc>
          <w:tcPr>
            <w:tcW w:w="450" w:type="pct"/>
            <w:shd w:val="clear" w:color="auto" w:fill="FFFFFF"/>
            <w:noWrap w:val="0"/>
            <w:tcMar>
              <w:top w:w="20" w:type="dxa"/>
              <w:bottom w:w="20" w:type="dxa"/>
            </w:tcMar>
            <w:vAlign w:val="center"/>
          </w:tcPr>
          <w:p>
            <w:pPr>
              <w:jc w:val="right"/>
              <w:rPr>
                <w:b w:val="0"/>
              </w:rPr>
            </w:pPr>
            <w:r>
              <w:rPr>
                <w:b w:val="0"/>
              </w:rPr>
              <w:t>297 543 866,77</w:t>
            </w:r>
          </w:p>
        </w:tc>
        <w:tc>
          <w:tcPr>
            <w:tcW w:w="450" w:type="pct"/>
            <w:shd w:val="clear" w:color="auto" w:fill="FFFFFF"/>
            <w:noWrap w:val="0"/>
            <w:tcMar>
              <w:top w:w="20" w:type="dxa"/>
              <w:bottom w:w="20" w:type="dxa"/>
            </w:tcMar>
            <w:vAlign w:val="center"/>
          </w:tcPr>
          <w:p>
            <w:pPr>
              <w:jc w:val="right"/>
              <w:rPr>
                <w:b w:val="0"/>
              </w:rPr>
            </w:pPr>
            <w:r>
              <w:rPr>
                <w:b w:val="0"/>
              </w:rPr>
              <w:t>17 852 632,00</w:t>
            </w:r>
          </w:p>
        </w:tc>
        <w:tc>
          <w:tcPr>
            <w:tcW w:w="450" w:type="pct"/>
            <w:shd w:val="clear" w:color="auto" w:fill="FFFFFF"/>
            <w:noWrap w:val="0"/>
            <w:tcMar>
              <w:top w:w="20" w:type="dxa"/>
              <w:bottom w:w="20" w:type="dxa"/>
            </w:tcMar>
            <w:vAlign w:val="center"/>
          </w:tcPr>
          <w:p>
            <w:pPr>
              <w:jc w:val="right"/>
              <w:rPr>
                <w:b w:val="0"/>
              </w:rPr>
            </w:pPr>
            <w:r>
              <w:rPr>
                <w:b w:val="0"/>
              </w:rPr>
              <w:t>14 877 193,34</w:t>
            </w:r>
          </w:p>
        </w:tc>
        <w:tc>
          <w:tcPr>
            <w:tcW w:w="450" w:type="pct"/>
            <w:shd w:val="clear" w:color="auto" w:fill="FFFFFF"/>
            <w:noWrap w:val="0"/>
            <w:tcMar>
              <w:top w:w="20" w:type="dxa"/>
              <w:bottom w:w="20" w:type="dxa"/>
            </w:tcMar>
            <w:vAlign w:val="center"/>
          </w:tcPr>
          <w:p>
            <w:pPr>
              <w:jc w:val="right"/>
              <w:rPr>
                <w:b w:val="0"/>
              </w:rPr>
            </w:pPr>
            <w:r>
              <w:rPr>
                <w:b w:val="0"/>
              </w:rPr>
              <w:t>20 828 070,67</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450" w:type="pct"/>
            <w:shd w:val="clear" w:color="auto" w:fill="FFFFFF"/>
            <w:noWrap w:val="0"/>
            <w:tcMar>
              <w:top w:w="20" w:type="dxa"/>
              <w:bottom w:w="20" w:type="dxa"/>
            </w:tcMar>
            <w:vAlign w:val="center"/>
          </w:tcPr>
          <w:p>
            <w:pPr>
              <w:jc w:val="right"/>
              <w:rPr>
                <w:b w:val="0"/>
              </w:rPr>
            </w:pPr>
            <w:r>
              <w:rPr>
                <w:b w:val="0"/>
              </w:rPr>
              <w:t>232 856 007,00</w:t>
            </w:r>
          </w:p>
        </w:tc>
        <w:tc>
          <w:tcPr>
            <w:tcW w:w="450" w:type="pct"/>
            <w:shd w:val="clear" w:color="auto" w:fill="FFFFFF"/>
            <w:noWrap w:val="0"/>
            <w:tcMar>
              <w:top w:w="20" w:type="dxa"/>
              <w:bottom w:w="20" w:type="dxa"/>
            </w:tcMar>
            <w:vAlign w:val="center"/>
          </w:tcPr>
          <w:p>
            <w:pPr>
              <w:jc w:val="right"/>
              <w:rPr>
                <w:b w:val="0"/>
              </w:rPr>
            </w:pPr>
            <w:r>
              <w:rPr>
                <w:b w:val="0"/>
              </w:rPr>
              <w:t>236 649 762,44</w:t>
            </w:r>
          </w:p>
        </w:tc>
        <w:tc>
          <w:tcPr>
            <w:tcW w:w="450" w:type="pct"/>
            <w:shd w:val="clear" w:color="auto" w:fill="FFFFFF"/>
            <w:noWrap w:val="0"/>
            <w:tcMar>
              <w:top w:w="20" w:type="dxa"/>
              <w:bottom w:w="20" w:type="dxa"/>
            </w:tcMar>
            <w:vAlign w:val="center"/>
          </w:tcPr>
          <w:p>
            <w:pPr>
              <w:jc w:val="right"/>
              <w:rPr>
                <w:b w:val="0"/>
              </w:rPr>
            </w:pPr>
            <w:r>
              <w:rPr>
                <w:b w:val="0"/>
              </w:rPr>
              <w:t>14 198 986,00</w:t>
            </w:r>
          </w:p>
        </w:tc>
        <w:tc>
          <w:tcPr>
            <w:tcW w:w="450" w:type="pct"/>
            <w:shd w:val="clear" w:color="auto" w:fill="FFFFFF"/>
            <w:noWrap w:val="0"/>
            <w:tcMar>
              <w:top w:w="20" w:type="dxa"/>
              <w:bottom w:w="20" w:type="dxa"/>
            </w:tcMar>
            <w:vAlign w:val="center"/>
          </w:tcPr>
          <w:p>
            <w:pPr>
              <w:jc w:val="right"/>
              <w:rPr>
                <w:b w:val="0"/>
              </w:rPr>
            </w:pPr>
            <w:r>
              <w:rPr>
                <w:b w:val="0"/>
              </w:rPr>
              <w:t>11 832 488,12</w:t>
            </w:r>
          </w:p>
        </w:tc>
        <w:tc>
          <w:tcPr>
            <w:tcW w:w="450" w:type="pct"/>
            <w:shd w:val="clear" w:color="auto" w:fill="FFFFFF"/>
            <w:noWrap w:val="0"/>
            <w:tcMar>
              <w:top w:w="20" w:type="dxa"/>
              <w:bottom w:w="20" w:type="dxa"/>
            </w:tcMar>
            <w:vAlign w:val="center"/>
          </w:tcPr>
          <w:p>
            <w:pPr>
              <w:jc w:val="right"/>
              <w:rPr>
                <w:b w:val="0"/>
              </w:rPr>
            </w:pPr>
            <w:r>
              <w:rPr>
                <w:b w:val="0"/>
              </w:rPr>
              <w:t>16 565 483,37</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450" w:type="pct"/>
            <w:shd w:val="clear" w:color="auto" w:fill="FFFFFF"/>
            <w:noWrap w:val="0"/>
            <w:tcMar>
              <w:top w:w="20" w:type="dxa"/>
              <w:bottom w:w="20" w:type="dxa"/>
            </w:tcMar>
            <w:vAlign w:val="center"/>
          </w:tcPr>
          <w:p>
            <w:pPr>
              <w:jc w:val="right"/>
              <w:rPr>
                <w:b w:val="0"/>
              </w:rPr>
            </w:pPr>
            <w:r>
              <w:rPr>
                <w:b w:val="0"/>
              </w:rPr>
              <w:t>741 499 733,00</w:t>
            </w:r>
          </w:p>
        </w:tc>
        <w:tc>
          <w:tcPr>
            <w:tcW w:w="450" w:type="pct"/>
            <w:shd w:val="clear" w:color="auto" w:fill="FFFFFF"/>
            <w:noWrap w:val="0"/>
            <w:tcMar>
              <w:top w:w="20" w:type="dxa"/>
              <w:bottom w:w="20" w:type="dxa"/>
            </w:tcMar>
            <w:vAlign w:val="center"/>
          </w:tcPr>
          <w:p>
            <w:pPr>
              <w:jc w:val="right"/>
              <w:rPr>
                <w:b w:val="0"/>
              </w:rPr>
            </w:pPr>
            <w:r>
              <w:rPr>
                <w:b w:val="0"/>
              </w:rPr>
              <w:t>753 580 454,81</w:t>
            </w:r>
          </w:p>
        </w:tc>
        <w:tc>
          <w:tcPr>
            <w:tcW w:w="450" w:type="pct"/>
            <w:shd w:val="clear" w:color="auto" w:fill="FFFFFF"/>
            <w:noWrap w:val="0"/>
            <w:tcMar>
              <w:top w:w="20" w:type="dxa"/>
              <w:bottom w:w="20" w:type="dxa"/>
            </w:tcMar>
            <w:vAlign w:val="center"/>
          </w:tcPr>
          <w:p>
            <w:pPr>
              <w:jc w:val="right"/>
              <w:rPr>
                <w:b w:val="0"/>
              </w:rPr>
            </w:pPr>
            <w:r>
              <w:rPr>
                <w:b w:val="0"/>
              </w:rPr>
              <w:t>45 214 827,00</w:t>
            </w:r>
          </w:p>
        </w:tc>
        <w:tc>
          <w:tcPr>
            <w:tcW w:w="450" w:type="pct"/>
            <w:shd w:val="clear" w:color="auto" w:fill="FFFFFF"/>
            <w:noWrap w:val="0"/>
            <w:tcMar>
              <w:top w:w="20" w:type="dxa"/>
              <w:bottom w:w="20" w:type="dxa"/>
            </w:tcMar>
            <w:vAlign w:val="center"/>
          </w:tcPr>
          <w:p>
            <w:pPr>
              <w:jc w:val="right"/>
              <w:rPr>
                <w:b w:val="0"/>
              </w:rPr>
            </w:pPr>
            <w:r>
              <w:rPr>
                <w:b w:val="0"/>
              </w:rPr>
              <w:t>37 679 022,74</w:t>
            </w:r>
          </w:p>
        </w:tc>
        <w:tc>
          <w:tcPr>
            <w:tcW w:w="450" w:type="pct"/>
            <w:shd w:val="clear" w:color="auto" w:fill="FFFFFF"/>
            <w:noWrap w:val="0"/>
            <w:tcMar>
              <w:top w:w="20" w:type="dxa"/>
              <w:bottom w:w="20" w:type="dxa"/>
            </w:tcMar>
            <w:vAlign w:val="center"/>
          </w:tcPr>
          <w:p>
            <w:pPr>
              <w:jc w:val="right"/>
              <w:rPr>
                <w:b w:val="0"/>
              </w:rPr>
            </w:pPr>
            <w:r>
              <w:rPr>
                <w:b w:val="0"/>
              </w:rPr>
              <w:t>52 750 631,84</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450" w:type="pct"/>
            <w:shd w:val="clear" w:color="auto" w:fill="FFFFFF"/>
            <w:noWrap w:val="0"/>
            <w:tcMar>
              <w:top w:w="20" w:type="dxa"/>
              <w:bottom w:w="20" w:type="dxa"/>
            </w:tcMar>
            <w:vAlign w:val="center"/>
          </w:tcPr>
          <w:p>
            <w:pPr>
              <w:jc w:val="right"/>
              <w:rPr>
                <w:b w:val="0"/>
              </w:rPr>
            </w:pPr>
            <w:r>
              <w:rPr>
                <w:b w:val="0"/>
              </w:rPr>
              <w:t>334 704 712,00</w:t>
            </w:r>
          </w:p>
        </w:tc>
        <w:tc>
          <w:tcPr>
            <w:tcW w:w="450" w:type="pct"/>
            <w:shd w:val="clear" w:color="auto" w:fill="FFFFFF"/>
            <w:noWrap w:val="0"/>
            <w:tcMar>
              <w:top w:w="20" w:type="dxa"/>
              <w:bottom w:w="20" w:type="dxa"/>
            </w:tcMar>
            <w:vAlign w:val="center"/>
          </w:tcPr>
          <w:p>
            <w:pPr>
              <w:jc w:val="right"/>
              <w:rPr>
                <w:b w:val="0"/>
              </w:rPr>
            </w:pPr>
            <w:r>
              <w:rPr>
                <w:b w:val="0"/>
              </w:rPr>
              <w:t>340 157 815,13</w:t>
            </w:r>
          </w:p>
        </w:tc>
        <w:tc>
          <w:tcPr>
            <w:tcW w:w="450" w:type="pct"/>
            <w:shd w:val="clear" w:color="auto" w:fill="FFFFFF"/>
            <w:noWrap w:val="0"/>
            <w:tcMar>
              <w:top w:w="20" w:type="dxa"/>
              <w:bottom w:w="20" w:type="dxa"/>
            </w:tcMar>
            <w:vAlign w:val="center"/>
          </w:tcPr>
          <w:p>
            <w:pPr>
              <w:jc w:val="right"/>
              <w:rPr>
                <w:b w:val="0"/>
              </w:rPr>
            </w:pPr>
            <w:r>
              <w:rPr>
                <w:b w:val="0"/>
              </w:rPr>
              <w:t>20 409 469,00</w:t>
            </w:r>
          </w:p>
        </w:tc>
        <w:tc>
          <w:tcPr>
            <w:tcW w:w="450" w:type="pct"/>
            <w:shd w:val="clear" w:color="auto" w:fill="FFFFFF"/>
            <w:noWrap w:val="0"/>
            <w:tcMar>
              <w:top w:w="20" w:type="dxa"/>
              <w:bottom w:w="20" w:type="dxa"/>
            </w:tcMar>
            <w:vAlign w:val="center"/>
          </w:tcPr>
          <w:p>
            <w:pPr>
              <w:jc w:val="right"/>
              <w:rPr>
                <w:b w:val="0"/>
              </w:rPr>
            </w:pPr>
            <w:r>
              <w:rPr>
                <w:b w:val="0"/>
              </w:rPr>
              <w:t>17 007 890,76</w:t>
            </w:r>
          </w:p>
        </w:tc>
        <w:tc>
          <w:tcPr>
            <w:tcW w:w="450" w:type="pct"/>
            <w:shd w:val="clear" w:color="auto" w:fill="FFFFFF"/>
            <w:noWrap w:val="0"/>
            <w:tcMar>
              <w:top w:w="20" w:type="dxa"/>
              <w:bottom w:w="20" w:type="dxa"/>
            </w:tcMar>
            <w:vAlign w:val="center"/>
          </w:tcPr>
          <w:p>
            <w:pPr>
              <w:jc w:val="right"/>
              <w:rPr>
                <w:b w:val="0"/>
              </w:rPr>
            </w:pPr>
            <w:r>
              <w:rPr>
                <w:b w:val="0"/>
              </w:rPr>
              <w:t>23 811 047,06</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450" w:type="pct"/>
            <w:shd w:val="clear" w:color="auto" w:fill="FFFFFF"/>
            <w:noWrap w:val="0"/>
            <w:tcMar>
              <w:top w:w="20" w:type="dxa"/>
              <w:bottom w:w="20" w:type="dxa"/>
            </w:tcMar>
            <w:vAlign w:val="center"/>
          </w:tcPr>
          <w:p>
            <w:pPr>
              <w:jc w:val="right"/>
              <w:rPr>
                <w:b w:val="0"/>
              </w:rPr>
            </w:pPr>
            <w:r>
              <w:rPr>
                <w:b w:val="0"/>
              </w:rPr>
              <w:t>699 456 328,00</w:t>
            </w:r>
          </w:p>
        </w:tc>
        <w:tc>
          <w:tcPr>
            <w:tcW w:w="450" w:type="pct"/>
            <w:shd w:val="clear" w:color="auto" w:fill="FFFFFF"/>
            <w:noWrap w:val="0"/>
            <w:tcMar>
              <w:top w:w="20" w:type="dxa"/>
              <w:bottom w:w="20" w:type="dxa"/>
            </w:tcMar>
            <w:vAlign w:val="center"/>
          </w:tcPr>
          <w:p>
            <w:pPr>
              <w:jc w:val="right"/>
              <w:rPr>
                <w:b w:val="0"/>
              </w:rPr>
            </w:pPr>
            <w:r>
              <w:rPr>
                <w:b w:val="0"/>
              </w:rPr>
              <w:t>710 852 066,86</w:t>
            </w:r>
          </w:p>
        </w:tc>
        <w:tc>
          <w:tcPr>
            <w:tcW w:w="450" w:type="pct"/>
            <w:shd w:val="clear" w:color="auto" w:fill="FFFFFF"/>
            <w:noWrap w:val="0"/>
            <w:tcMar>
              <w:top w:w="20" w:type="dxa"/>
              <w:bottom w:w="20" w:type="dxa"/>
            </w:tcMar>
            <w:vAlign w:val="center"/>
          </w:tcPr>
          <w:p>
            <w:pPr>
              <w:jc w:val="right"/>
              <w:rPr>
                <w:b w:val="0"/>
              </w:rPr>
            </w:pPr>
            <w:r>
              <w:rPr>
                <w:b w:val="0"/>
              </w:rPr>
              <w:t>42 651 124,00</w:t>
            </w:r>
          </w:p>
        </w:tc>
        <w:tc>
          <w:tcPr>
            <w:tcW w:w="450" w:type="pct"/>
            <w:shd w:val="clear" w:color="auto" w:fill="FFFFFF"/>
            <w:noWrap w:val="0"/>
            <w:tcMar>
              <w:top w:w="20" w:type="dxa"/>
              <w:bottom w:w="20" w:type="dxa"/>
            </w:tcMar>
            <w:vAlign w:val="center"/>
          </w:tcPr>
          <w:p>
            <w:pPr>
              <w:jc w:val="right"/>
              <w:rPr>
                <w:b w:val="0"/>
              </w:rPr>
            </w:pPr>
            <w:r>
              <w:rPr>
                <w:b w:val="0"/>
              </w:rPr>
              <w:t>35 542 603,34</w:t>
            </w:r>
          </w:p>
        </w:tc>
        <w:tc>
          <w:tcPr>
            <w:tcW w:w="450" w:type="pct"/>
            <w:shd w:val="clear" w:color="auto" w:fill="FFFFFF"/>
            <w:noWrap w:val="0"/>
            <w:tcMar>
              <w:top w:w="20" w:type="dxa"/>
              <w:bottom w:w="20" w:type="dxa"/>
            </w:tcMar>
            <w:vAlign w:val="center"/>
          </w:tcPr>
          <w:p>
            <w:pPr>
              <w:jc w:val="right"/>
              <w:rPr>
                <w:b w:val="0"/>
              </w:rPr>
            </w:pPr>
            <w:r>
              <w:rPr>
                <w:b w:val="0"/>
              </w:rPr>
              <w:t>49 759 644,68</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C0C0C0"/>
            <w:noWrap w:val="0"/>
            <w:tcMar>
              <w:top w:w="20" w:type="dxa"/>
              <w:bottom w:w="20" w:type="dxa"/>
            </w:tcMar>
            <w:vAlign w:val="center"/>
          </w:tcPr>
          <w:p>
            <w:pPr>
              <w:jc w:val="center"/>
              <w:rPr>
                <w:b/>
              </w:rPr>
            </w:pPr>
            <w:r>
              <w:rPr>
                <w:b/>
              </w:rPr>
              <w:t>Общо</w:t>
            </w:r>
          </w:p>
        </w:tc>
        <w:tc>
          <w:tcPr>
            <w:tcW w:w="450" w:type="pct"/>
            <w:shd w:val="clear" w:color="auto" w:fill="C0C0C0"/>
            <w:noWrap w:val="0"/>
            <w:tcMar>
              <w:top w:w="20" w:type="dxa"/>
              <w:bottom w:w="20" w:type="dxa"/>
            </w:tcMar>
            <w:vAlign w:val="center"/>
          </w:tcPr>
          <w:p>
            <w:pPr>
              <w:jc w:val="right"/>
              <w:rPr>
                <w:b/>
              </w:rPr>
            </w:pPr>
            <w:r>
              <w:rPr>
                <w:b/>
              </w:rPr>
              <w:t>2 329 223 692,00</w:t>
            </w:r>
          </w:p>
        </w:tc>
        <w:tc>
          <w:tcPr>
            <w:tcW w:w="450" w:type="pct"/>
            <w:shd w:val="clear" w:color="auto" w:fill="C0C0C0"/>
            <w:noWrap w:val="0"/>
            <w:tcMar>
              <w:top w:w="20" w:type="dxa"/>
              <w:bottom w:w="20" w:type="dxa"/>
            </w:tcMar>
            <w:vAlign w:val="center"/>
          </w:tcPr>
          <w:p>
            <w:pPr>
              <w:jc w:val="right"/>
              <w:rPr>
                <w:b/>
              </w:rPr>
            </w:pPr>
            <w:r>
              <w:rPr>
                <w:b/>
              </w:rPr>
              <w:t>2 338 783 966,00</w:t>
            </w:r>
          </w:p>
        </w:tc>
        <w:tc>
          <w:tcPr>
            <w:tcW w:w="450" w:type="pct"/>
            <w:shd w:val="clear" w:color="auto" w:fill="C0C0C0"/>
            <w:noWrap w:val="0"/>
            <w:tcMar>
              <w:top w:w="20" w:type="dxa"/>
              <w:bottom w:w="20" w:type="dxa"/>
            </w:tcMar>
            <w:vAlign w:val="center"/>
          </w:tcPr>
          <w:p>
            <w:pPr>
              <w:jc w:val="right"/>
              <w:rPr>
                <w:b/>
              </w:rPr>
            </w:pPr>
            <w:r>
              <w:rPr>
                <w:b/>
              </w:rPr>
              <w:t>140 327 038,00</w:t>
            </w:r>
          </w:p>
        </w:tc>
        <w:tc>
          <w:tcPr>
            <w:tcW w:w="450" w:type="pct"/>
            <w:shd w:val="clear" w:color="auto" w:fill="C0C0C0"/>
            <w:noWrap w:val="0"/>
            <w:tcMar>
              <w:top w:w="20" w:type="dxa"/>
              <w:bottom w:w="20" w:type="dxa"/>
            </w:tcMar>
            <w:vAlign w:val="center"/>
          </w:tcPr>
          <w:p>
            <w:pPr>
              <w:jc w:val="right"/>
              <w:rPr>
                <w:b/>
              </w:rPr>
            </w:pPr>
            <w:r>
              <w:rPr>
                <w:b/>
              </w:rPr>
              <w:t>116 939 198,30</w:t>
            </w:r>
          </w:p>
        </w:tc>
        <w:tc>
          <w:tcPr>
            <w:tcW w:w="450" w:type="pct"/>
            <w:shd w:val="clear" w:color="auto" w:fill="C0C0C0"/>
            <w:noWrap w:val="0"/>
            <w:tcMar>
              <w:top w:w="20" w:type="dxa"/>
              <w:bottom w:w="20" w:type="dxa"/>
            </w:tcMar>
            <w:vAlign w:val="center"/>
          </w:tcPr>
          <w:p>
            <w:pPr>
              <w:jc w:val="right"/>
              <w:rPr>
                <w:b/>
              </w:rPr>
            </w:pPr>
            <w:r>
              <w:rPr>
                <w:b/>
              </w:rPr>
              <w:t>163 714 877,62</w:t>
            </w:r>
          </w:p>
        </w:tc>
        <w:tc>
          <w:tcPr>
            <w:tcW w:w="450" w:type="pct"/>
            <w:shd w:val="clear" w:color="auto" w:fill="C0C0C0"/>
            <w:noWrap w:val="0"/>
            <w:tcMar>
              <w:top w:w="20" w:type="dxa"/>
              <w:bottom w:w="20" w:type="dxa"/>
            </w:tcMar>
            <w:vAlign w:val="center"/>
          </w:tcPr>
          <w:p>
            <w:pPr>
              <w:jc w:val="right"/>
              <w:rPr>
                <w:b/>
              </w:rPr>
            </w:pPr>
            <w:r>
              <w:rPr>
                <w:b/>
              </w:rPr>
              <w:t>6%</w:t>
            </w:r>
          </w:p>
        </w:tc>
      </w:tr>
    </w:tbl>
    <w:p>
      <w:pPr>
        <w:rPr>
          <w:b/>
        </w:rPr>
        <w:sectPr>
          <w:type w:val="nextPage"/>
          <w:pgSz w:w="15840" w:h="12240" w:orient="landscape"/>
          <w:pgMar w:top="900" w:right="900" w:bottom="900" w:left="900" w:header="720" w:footer="720"/>
          <w:cols w:space="720"/>
        </w:sectPr>
      </w:pPr>
    </w:p>
    <w:p>
      <w:pPr>
        <w:pStyle w:val="Heading1"/>
      </w:pPr>
      <w:bookmarkStart w:id="109" w:name="_Toc256000109"/>
      <w:r>
        <w:t>Описание на избраните мерки</w:t>
      </w:r>
      <w:bookmarkEnd w:id="109"/>
    </w:p>
    <w:p>
      <w:pPr>
        <w:pStyle w:val="Heading2"/>
      </w:pPr>
      <w:bookmarkStart w:id="110" w:name="_Toc256000110"/>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Механизмът на гаранционната схема по ПРСР 2007 – 2013 ще бъде прилаган за проекти по под мерки 4.1 и 4.2, включително в рамките на Тематичната подпрограма. Финансовият ресурс за издаване на гаранции  по под мерки 4.1 и 4.2 ще бъде осигурен от освободени гаранции по проекти по мерки 121 и 123. Гаранционната схема ще позволи по пълно постигане на целите на ПРСР и ще облекчи достъпа до кредитен ресурс. Предоставяните гаранции ще се използват за допълване на обезпечението при предоставянето на инвестиционни кредити.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Нов финансов инструмент ще бъде разработен за нуждите на Програмата включително за кандидати в рамките на Тематичната подпрограма,, като за целта през 2015 г. ще се извърши предварителна оценка за потребностите от неговото създаване и обхват на прилагане. Планира се реалното стартиране на бъдещия финансов инструмент да се осъществи в края на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Спазване на правилата за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Изисквания свързани с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след изготвяне на обща стратегия за  хидромелиоративния сектор (напояване и отводняване) и опазване от вредното въздействие на водите  в рамките на програмата за подкрепата  от екипа на Международната банка за възстановяване и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Капацитетът на инсталациите в проекти за производства на енергия от ВЕИ, които са обект на подпомагане не трябва да надвишават мощност от 1 мегават.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4 „Инвестиции във физически активи“;</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15. „Екологични услуги и услуги във връзка с климата в горското стопанство и опазване на горите“;</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Недопустими разходи за инвестиционна подкрепа</w:t>
            </w:r>
          </w:p>
          <w:p>
            <w:pPr>
              <w:numPr>
                <w:ilvl w:val="0"/>
                <w:numId w:val="11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обикновена подмяна и поддръжка;</w:t>
            </w:r>
          </w:p>
          <w:p>
            <w:pPr>
              <w:numPr>
                <w:ilvl w:val="0"/>
                <w:numId w:val="1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оборудване втора ръка;</w:t>
            </w:r>
          </w:p>
          <w:p>
            <w:pPr>
              <w:numPr>
                <w:ilvl w:val="0"/>
                <w:numId w:val="1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преди 01.01.2014</w:t>
            </w:r>
          </w:p>
          <w:p>
            <w:pPr>
              <w:numPr>
                <w:ilvl w:val="0"/>
                <w:numId w:val="1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в натура;</w:t>
            </w:r>
          </w:p>
          <w:p>
            <w:pPr>
              <w:numPr>
                <w:ilvl w:val="0"/>
                <w:numId w:val="1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1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мярка 15.1 „Плащания за горски екологични ангажименти“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 разходи ще се прилагат по мярка 1</w:t>
            </w:r>
            <w:r>
              <w:rPr>
                <w:rStyle w:val="DefaultParagraphFont"/>
                <w:rFonts w:ascii="Times New Roman" w:eastAsia="Times New Roman" w:hAnsi="Times New Roman" w:cs="Times New Roman"/>
                <w:i/>
                <w:iCs/>
                <w:szCs w:val="24"/>
              </w:rPr>
              <w:t>„Трансфер на знания и действия по осведомяване“</w:t>
            </w:r>
            <w:r>
              <w:rPr>
                <w:rStyle w:val="DefaultParagraphFont"/>
                <w:rFonts w:ascii="Times New Roman" w:eastAsia="Times New Roman" w:hAnsi="Times New Roman" w:cs="Times New Roman"/>
                <w:szCs w:val="24"/>
              </w:rPr>
              <w:t>, по мярка 2 „</w:t>
            </w:r>
            <w:r>
              <w:rPr>
                <w:rStyle w:val="DefaultParagraphFont"/>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Style w:val="DefaultParagraphFont"/>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Териториално покритие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Инвестиции в инфраструктура                                                                                      2016-2020                                                                                                          5A, 5B, 5C, 5D</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подобрение и разширяване.                                                                                               2016-2020                                                                                                                    6C</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12.2. Компенсаторни плащания за гори в Натура 2000                                               2016-2020                                                                                                                   4(FO)</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12.3. Компенсаторни плащания за селскостопански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включени в плановете за управление на речните басейни                                        2016-2020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13.3. Компенсационни плащания за други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засегнати от специфични ограничения.                                                                           2017-2020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15.1. Плащания за задължения за опазване на околната среда в горите            2016-2020                                                                                                                      4(FO)</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М17 — Управление на риска                                                                                                2017-2020                                                                                                                     3B</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1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1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„плодове и зеленчуци“ и „етерично-маслени и лекарствени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pStyle w:val="BodyText"/>
              <w:jc w:val="both"/>
            </w:pPr>
          </w:p>
        </w:tc>
      </w:tr>
    </w:tbl>
    <w:p>
      <w:pPr>
        <w:pStyle w:val="Heading2"/>
      </w:pPr>
      <w:bookmarkStart w:id="111" w:name="_Toc256000111"/>
      <w:r>
        <w:t>Описание по мярка</w:t>
      </w:r>
      <w:bookmarkEnd w:id="111"/>
    </w:p>
    <w:p>
      <w:pPr>
        <w:pStyle w:val="Heading3"/>
        <w:jc w:val="left"/>
        <w:rPr>
          <w:b w:val="0"/>
        </w:rPr>
      </w:pPr>
      <w:bookmarkStart w:id="112" w:name="_Toc256000112"/>
      <w:r>
        <w:rPr>
          <w:b w:val="0"/>
        </w:rPr>
        <w:t>М01 — Трансфер на знания и действия за осведомяване (член 14)</w:t>
      </w:r>
      <w:bookmarkEnd w:id="11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ще се прилага със следните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Професионално обучение и придобиване на умения;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Style w:val="DefaultParagraphFont"/>
                <w:rFonts w:ascii="Times New Roman" w:eastAsia="Times New Roman" w:hAnsi="Times New Roman" w:cs="Times New Roman"/>
                <w:b/>
                <w:bCs/>
                <w:i/>
                <w:iCs/>
                <w:szCs w:val="24"/>
              </w:rPr>
              <w:t xml:space="preserve">.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Мярката допринася основно към реализирането на </w:t>
            </w:r>
            <w:r>
              <w:rPr>
                <w:rStyle w:val="DefaultParagraphFont"/>
                <w:rFonts w:ascii="Times New Roman" w:eastAsia="Times New Roman" w:hAnsi="Times New Roman" w:cs="Times New Roman"/>
                <w:b/>
                <w:bCs/>
                <w:szCs w:val="24"/>
              </w:rPr>
              <w:t>приоритетни области 1А, 1Б и1В.</w:t>
            </w:r>
            <w:r>
              <w:rPr>
                <w:rStyle w:val="DefaultParagraphFont"/>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Style w:val="DefaultParagraphFont"/>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2А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Style w:val="DefaultParagraphFont"/>
                <w:rFonts w:ascii="Times New Roman" w:eastAsia="Times New Roman" w:hAnsi="Times New Roman" w:cs="Times New Roman"/>
                <w:b/>
                <w:bCs/>
                <w:szCs w:val="24"/>
              </w:rPr>
              <w:t xml:space="preserve">подмярка 1.2. </w:t>
            </w:r>
            <w:r>
              <w:rPr>
                <w:rStyle w:val="DefaultParagraphFont"/>
                <w:rFonts w:ascii="Times New Roman" w:eastAsia="Times New Roman" w:hAnsi="Times New Roman" w:cs="Times New Roman"/>
                <w:szCs w:val="24"/>
              </w:rPr>
              <w:t xml:space="preserve">с демонстрационни дейности </w:t>
            </w:r>
            <w:r>
              <w:rPr>
                <w:rStyle w:val="DefaultParagraphFont"/>
                <w:rFonts w:ascii="Times New Roman" w:eastAsia="Times New Roman" w:hAnsi="Times New Roman" w:cs="Times New Roman"/>
                <w:i/>
                <w:iCs/>
                <w:szCs w:val="24"/>
              </w:rPr>
              <w:t>с приоритет на темите за въвеждане на иновации в производствените практики</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2Б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3А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8 или 18 часа за обучение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 3Б</w:t>
            </w:r>
            <w:r>
              <w:rPr>
                <w:rStyle w:val="DefaultParagraphFont"/>
                <w:rFonts w:ascii="Times New Roman" w:eastAsia="Times New Roman" w:hAnsi="Times New Roman" w:cs="Times New Roman"/>
                <w:szCs w:val="24"/>
              </w:rPr>
              <w:t xml:space="preserve"> –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основни рискове в земеделието, методите за превенция</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 xml:space="preserve">и за управление на риска;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 4А</w:t>
            </w:r>
            <w:r>
              <w:rPr>
                <w:rStyle w:val="DefaultParagraphFont"/>
                <w:rFonts w:ascii="Times New Roman" w:eastAsia="Times New Roman" w:hAnsi="Times New Roman" w:cs="Times New Roman"/>
                <w:szCs w:val="24"/>
              </w:rPr>
              <w:t xml:space="preserve"> -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18 часа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обмяна на опит при биологичното земеделие</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 4Б</w:t>
            </w:r>
            <w:r>
              <w:rPr>
                <w:rStyle w:val="DefaultParagraphFont"/>
                <w:rFonts w:ascii="Times New Roman" w:eastAsia="Times New Roman" w:hAnsi="Times New Roman" w:cs="Times New Roman"/>
                <w:szCs w:val="24"/>
              </w:rPr>
              <w:t xml:space="preserve"> -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18 часа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Style w:val="DefaultParagraphFont"/>
                <w:rFonts w:ascii="Times New Roman" w:eastAsia="Times New Roman" w:hAnsi="Times New Roman" w:cs="Times New Roman"/>
                <w:szCs w:val="24"/>
              </w:rPr>
              <w:t xml:space="preserve">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представяне 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4В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с продължителност 30 часа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фактори на почвената ерозия и методи за предотвратяване;</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5А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Style w:val="DefaultParagraphFont"/>
                <w:rFonts w:ascii="Times New Roman" w:eastAsia="Times New Roman" w:hAnsi="Times New Roman" w:cs="Times New Roman"/>
                <w:szCs w:val="24"/>
              </w:rPr>
              <w:t xml:space="preserve">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 5Б</w:t>
            </w:r>
            <w:r>
              <w:rPr>
                <w:rStyle w:val="DefaultParagraphFont"/>
                <w:rFonts w:ascii="Times New Roman" w:eastAsia="Times New Roman" w:hAnsi="Times New Roman" w:cs="Times New Roman"/>
                <w:szCs w:val="24"/>
              </w:rPr>
              <w:t xml:space="preserve"> -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8 или 18 часа и 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5В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8 или 18 часа и  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5Г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8 или 18 часа и 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5Д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Style w:val="DefaultParagraphFont"/>
                <w:rFonts w:ascii="Times New Roman" w:eastAsia="Times New Roman" w:hAnsi="Times New Roman" w:cs="Times New Roman"/>
                <w:b/>
                <w:bCs/>
                <w:szCs w:val="24"/>
              </w:rPr>
              <w:t>подмярка 1.2. и подмярка 1.3</w:t>
            </w:r>
            <w:r>
              <w:rPr>
                <w:rStyle w:val="DefaultParagraphFont"/>
                <w:rFonts w:ascii="Times New Roman" w:eastAsia="Times New Roman" w:hAnsi="Times New Roman" w:cs="Times New Roman"/>
                <w:szCs w:val="24"/>
              </w:rPr>
              <w:t xml:space="preserve"> с демонстрационни дейности или обмяна на опит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Целта на мярката </w:t>
            </w:r>
            <w:r>
              <w:rPr>
                <w:rStyle w:val="DefaultParagraphFont"/>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В курсовете по 2А се предоставя приоритет</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17"/>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Курсовете за обучение </w:t>
            </w:r>
            <w:r>
              <w:rPr>
                <w:rStyle w:val="DefaultParagraphFont"/>
                <w:rFonts w:ascii="Times New Roman" w:eastAsia="Times New Roman" w:hAnsi="Times New Roman" w:cs="Times New Roman"/>
                <w:szCs w:val="24"/>
              </w:rPr>
              <w:t>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 Учебната програма на курсовете се разработва от обучаваща организация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 В учебната програма на курсовете се предвижда задължително практическо обучение. 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 В учебните програми на курсовете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Семинарите </w:t>
            </w:r>
            <w:r>
              <w:rPr>
                <w:rStyle w:val="DefaultParagraphFont"/>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се прилага система на ваучери. Ваучерите ще бъдат прилагани за всяка допустима дейност по подмярка 1.1.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курс 150 часа - 1 987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курс 100 часа - 1 385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курс 30 часа - 583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семинар 8 часа -  280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семинар 18 часа - 386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по част от професия да имат съответстващи акредитирани специалности;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имат валидно разрешително от Министъра на земеделието и храните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1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1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18"/>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1.1. са изчислени по методика, при която е  допуснато, че ще има пет вида курсове и информационни дейности (с продължителност 8 учебни часа, 18 учебни часа, 30 учебни часа, 100 учебни часа и 150 учебни часа - със събиране на участниците в обучението през предходния ден) и е определен стандартен разход за един участник  в съответния вид обучение. В методиката са приложени следните конкретни стъпки за изчисляване на разходите: определяне по видове обучения на средния брой обучаеми, средния брой учебни часове, средния брой нощувки и пансиони на един обучаем/лектор, средно разстояние очаквано за изминаване от един обучаем/лектор, средния брой на лекторите и членовете на екипа за организиране на съответното обучение и средни км за транспортни услуги (организиран превоз) до базите за практика; описание на дейностите по обучението, вкл. подготвителните дейности, дейностите по провеждане на обучението и дейностите по приключване и отчитане на обучението,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19"/>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Демонстрационните дейности </w:t>
            </w:r>
            <w:r>
              <w:rPr>
                <w:rStyle w:val="DefaultParagraphFont"/>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за организиране и провеждане на обучението се прилага система на ваучери. Ваучерите ще бъдат за демонстрационна дейност по подмярка 1.2.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 Разходите за инвестиции ще бъдат допустими за проекти за демонстрационни дейности при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инвестиции.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Style w:val="DefaultParagraphFont"/>
                <w:rFonts w:ascii="Times New Roman" w:eastAsia="Times New Roman" w:hAnsi="Times New Roman" w:cs="Times New Roman"/>
                <w:i/>
                <w:iCs/>
                <w:szCs w:val="24"/>
              </w:rPr>
              <w:t>Растениевъдство и животновъдство</w:t>
            </w:r>
            <w:r>
              <w:rPr>
                <w:rStyle w:val="DefaultParagraphFont"/>
                <w:rFonts w:ascii="Times New Roman" w:eastAsia="Times New Roman" w:hAnsi="Times New Roman" w:cs="Times New Roman"/>
                <w:szCs w:val="24"/>
              </w:rPr>
              <w:t>“, 623 „</w:t>
            </w:r>
            <w:r>
              <w:rPr>
                <w:rStyle w:val="DefaultParagraphFont"/>
                <w:rFonts w:ascii="Times New Roman" w:eastAsia="Times New Roman" w:hAnsi="Times New Roman" w:cs="Times New Roman"/>
                <w:i/>
                <w:iCs/>
                <w:szCs w:val="24"/>
              </w:rPr>
              <w:t>Горско стопанство</w:t>
            </w:r>
            <w:r>
              <w:rPr>
                <w:rStyle w:val="DefaultParagraphFont"/>
                <w:rFonts w:ascii="Times New Roman" w:eastAsia="Times New Roman" w:hAnsi="Times New Roman" w:cs="Times New Roman"/>
                <w:szCs w:val="24"/>
              </w:rPr>
              <w:t>”, 541 „</w:t>
            </w:r>
            <w:r>
              <w:rPr>
                <w:rStyle w:val="DefaultParagraphFont"/>
                <w:rFonts w:ascii="Times New Roman" w:eastAsia="Times New Roman" w:hAnsi="Times New Roman" w:cs="Times New Roman"/>
                <w:i/>
                <w:iCs/>
                <w:szCs w:val="24"/>
              </w:rPr>
              <w:t>Хранителни технологии</w:t>
            </w:r>
            <w:r>
              <w:rPr>
                <w:rStyle w:val="DefaultParagraphFont"/>
                <w:rFonts w:ascii="Times New Roman" w:eastAsia="Times New Roman" w:hAnsi="Times New Roman" w:cs="Times New Roman"/>
                <w:szCs w:val="24"/>
              </w:rPr>
              <w:t>“, 640 „</w:t>
            </w:r>
            <w:r>
              <w:rPr>
                <w:rStyle w:val="DefaultParagraphFont"/>
                <w:rFonts w:ascii="Times New Roman" w:eastAsia="Times New Roman" w:hAnsi="Times New Roman" w:cs="Times New Roman"/>
                <w:i/>
                <w:iCs/>
                <w:szCs w:val="24"/>
              </w:rPr>
              <w:t>Ветеринарна медицина</w:t>
            </w:r>
            <w:r>
              <w:rPr>
                <w:rStyle w:val="DefaultParagraphFont"/>
                <w:rFonts w:ascii="Times New Roman" w:eastAsia="Times New Roman" w:hAnsi="Times New Roman" w:cs="Times New Roman"/>
                <w:szCs w:val="24"/>
              </w:rPr>
              <w:t>“.</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100 000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2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20"/>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1.3. Краткосрочен обмен на опит и посещения в земеделски и горски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1"/>
              </w:numPr>
              <w:rPr>
                <w:b w:val="0"/>
              </w:rPr>
            </w:pPr>
            <w:r>
              <w:rPr>
                <w:b w:val="0"/>
              </w:rPr>
              <w:t>1.3 — подкрепата може да обхваща и краткосрочен обмен на опит в управлението на земеделски и горски стопанства, както и посещения на земеделски и горски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1А; 1Б; 1В; 4А; 5А; 5Б; 5В;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подпомага организирането и провеждането на посещения на земеделски и горски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Схемите за краткосрочен обмен на опит и посещения на земеделски и горски стопанства </w:t>
            </w:r>
            <w:r>
              <w:rPr>
                <w:rStyle w:val="DefaultParagraphFont"/>
                <w:rFonts w:ascii="Times New Roman" w:eastAsia="Times New Roman" w:hAnsi="Times New Roman" w:cs="Times New Roman"/>
                <w:szCs w:val="24"/>
              </w:rPr>
              <w:t>са дейности по организиране на групи от земеделски стопани или собственици на гори и провеждане на посещения на земеделски или горски стопанства с цел запознаване с конкретен проблем или начин на изпълнение на дадена работа или организация на работата и обмяна на опит между участниците.  Ще се дава приоритет  на посещения на стопанства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Посещенията на стопанства трябва да са насочени към методите и/или технологиите за устойчиво селско и горско стопанство, диверсификацията на стопанствата, участието на стопанствата в къси вериги на доставки, разработването на нови възможности за стопанска дейност и на нови технологии, както и повишаването на устойчивостта на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дейностите може да се извършва по следните начини: В стопанство, избрано за нуждите на обмяната на опит се извършва демонстриране на практиките и обектите, които са предмет на обмяната на опит, от представител на обучаващата организация или представянето се извършва от собственика или управителя на стопанството.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за организиране и провеждане на обучението се прилага система на ваучери. Ваучерите ще бъдат за посещение на стопанство по подмярка 1.3.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организациите, които предоставят трансфер на знания чрез посещения на земеделски и горски стопанства. Организациите трябва да извършват научно-изследователска дейност или да извършват образователна или обучителна дейност в областта на селското стопанство или горското стопанство или биотехнологиите или хранителните технологии или да извършват дейности в неправителствения сектор в областта на селското или горското стопанство или околната среда или водите.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257 евро за един обучаем.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w:t>
            </w:r>
            <w:r>
              <w:rPr>
                <w:rStyle w:val="DefaultParagraphFont"/>
                <w:rFonts w:ascii="Times New Roman" w:eastAsia="Times New Roman" w:hAnsi="Times New Roman" w:cs="Times New Roman"/>
                <w:i/>
                <w:iCs/>
                <w:szCs w:val="24"/>
              </w:rPr>
              <w:t>Растениевъдство и животновъдство</w:t>
            </w:r>
            <w:r>
              <w:rPr>
                <w:rStyle w:val="DefaultParagraphFont"/>
                <w:rFonts w:ascii="Times New Roman" w:eastAsia="Times New Roman" w:hAnsi="Times New Roman" w:cs="Times New Roman"/>
                <w:szCs w:val="24"/>
              </w:rPr>
              <w:t>“, 623 „</w:t>
            </w:r>
            <w:r>
              <w:rPr>
                <w:rStyle w:val="DefaultParagraphFont"/>
                <w:rFonts w:ascii="Times New Roman" w:eastAsia="Times New Roman" w:hAnsi="Times New Roman" w:cs="Times New Roman"/>
                <w:i/>
                <w:iCs/>
                <w:szCs w:val="24"/>
              </w:rPr>
              <w:t>Горско стопанство</w:t>
            </w:r>
            <w:r>
              <w:rPr>
                <w:rStyle w:val="DefaultParagraphFont"/>
                <w:rFonts w:ascii="Times New Roman" w:eastAsia="Times New Roman" w:hAnsi="Times New Roman" w:cs="Times New Roman"/>
                <w:szCs w:val="24"/>
              </w:rPr>
              <w:t>”, 541 „</w:t>
            </w:r>
            <w:r>
              <w:rPr>
                <w:rStyle w:val="DefaultParagraphFont"/>
                <w:rFonts w:ascii="Times New Roman" w:eastAsia="Times New Roman" w:hAnsi="Times New Roman" w:cs="Times New Roman"/>
                <w:i/>
                <w:iCs/>
                <w:szCs w:val="24"/>
              </w:rPr>
              <w:t>Хранителни технологии</w:t>
            </w:r>
            <w:r>
              <w:rPr>
                <w:rStyle w:val="DefaultParagraphFont"/>
                <w:rFonts w:ascii="Times New Roman" w:eastAsia="Times New Roman" w:hAnsi="Times New Roman" w:cs="Times New Roman"/>
                <w:szCs w:val="24"/>
              </w:rPr>
              <w:t>“, 640 „</w:t>
            </w:r>
            <w:r>
              <w:rPr>
                <w:rStyle w:val="DefaultParagraphFont"/>
                <w:rFonts w:ascii="Times New Roman" w:eastAsia="Times New Roman" w:hAnsi="Times New Roman" w:cs="Times New Roman"/>
                <w:i/>
                <w:iCs/>
                <w:szCs w:val="24"/>
              </w:rPr>
              <w:t>Ветеринарна медицина</w:t>
            </w:r>
            <w:r>
              <w:rPr>
                <w:rStyle w:val="DefaultParagraphFont"/>
                <w:rFonts w:ascii="Times New Roman" w:eastAsia="Times New Roman" w:hAnsi="Times New Roman" w:cs="Times New Roman"/>
                <w:szCs w:val="24"/>
              </w:rPr>
              <w:t>“.</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околната среда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неправителствена или браншова организация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всяка дейност ще се извършват следните оценки, с тежест на критериите по низходящ ред: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опита на организацията в изпълнение на подобни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условията за провеждане на посещенията на стопанства и обмяна на опит;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проекти с повече от една дейност посещение на стопанства се оценява учебната програма на всяка дейност и оценката се оформя като средна от получените оценки. Ще се определи минимален брой точки за класиране на проектите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Административният контрол ще включва проверки за съответствие на заявените с  допустимите стандартни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1.3. са изчислени по методика, при която е  допуснато, че ще има само един вид посещение на стопанство/стопанства  -еднодневно посещение със събиране на участниците в посещението през предходния ден и е определен стандартен разход за един участник  в посещение. В методиката са приложени следните конкретни стъпки за изчисляване на разходите: определяне на среден брой участници в посещение, среден брой на членовете на екипа за организиране на посещение и средни км за транспортни услуги (организиран превоз) до стопанството за посещение; описание на дейностите по посещението, вкл. подготвителните дейности, дейностите по провеждане на посещението и дейностите по приключване и отчитане на посещението, както и на включените разходи по дейности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Организацията е регистрирана по Закона за юридическите лица с нестопанска цел с предмет на дейност в областите, посочени в подмярката.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Процедура за прилагане на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и храните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Процедура за прилагане на системата на ваучери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прилагането на системата на ваучери ще се изпълняват следните условия:</w:t>
            </w:r>
          </w:p>
          <w:p>
            <w:pPr>
              <w:numPr>
                <w:ilvl w:val="0"/>
                <w:numId w:val="12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Периодът на валидност на ваучерите е една година.</w:t>
            </w:r>
          </w:p>
          <w:p>
            <w:pPr>
              <w:numPr>
                <w:ilvl w:val="0"/>
                <w:numId w:val="1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Ваучерите са за всеки вид обучение както следва: за курс с продължителност 30 часа, за курс с продължителност 150 часа, за специализиран курс с продължителност 100 часа, за семинар с продължителност 8 часа, за семинар с продължителност 18 часа; за демонстрационни дейности; за посещение на земеделско или горско стопанство. Ваучерите се предоставят на земеделски стопани и заети лица в техните стопанства, на горски стопани и заети лица в техните стопанства. Ваучерите се предоставят на земеделските и горските стопани или на заетите в техните стопанства в период до 3 месеца след публикуване на одобрените проекти по дадена обява. Подготовката и издаването на ваучерите се извършва от МЗХ, като средствата се осигуряват по техническата помощ на програмата. Проверката за допустимост на обучаемите и предоставянето на ваучери се извършва от Областните дирекции „Земеделие“ и общинските служби земеделие към МЗХ.</w:t>
            </w:r>
          </w:p>
          <w:p>
            <w:pPr>
              <w:numPr>
                <w:ilvl w:val="0"/>
                <w:numId w:val="12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Специфичните условия за възстановяването на разходите на обучаващите организации са следните: На базата на планиран брой обучаеми по видове дейности и съответните стойности на ваучерите по тези дейности, всяка обучаващата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обучаващата организация представя заявка за плащане, като прилага като разходооправдателни документи получените ваучери от реално обучените участници. Допустими са междинни плащания след приключване на всяка от одобрените дейности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13" w:name="_Toc256000113"/>
      <w:r>
        <w:rPr>
          <w:b w:val="0"/>
        </w:rPr>
        <w:t>М02 —  Консултантски услуги, услуги по управление на стопанство и услуги по заместване в стопанство (член 15)</w:t>
      </w:r>
      <w:bookmarkEnd w:id="11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ще се прилага със следните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Помощ за осигуряване на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Създаване на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Подпомагане за обучение на консултанти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2.1. ще се прилага с две операции: Операция 2.1.1 Консултантски услуги за земеделски и горски стопани и Операция 2.1.2 Консултантски услуги за малки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операция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операция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операция 2.1.2 консултантските пакети за малки земеделски стопани определени в Раздел 4.1 на Тематичната подпрограма обхващат консултантски услуги групирани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w:t>
            </w:r>
            <w:r>
              <w:rPr>
                <w:rStyle w:val="DefaultParagraphFont"/>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w:t>
            </w:r>
            <w:r>
              <w:rPr>
                <w:rStyle w:val="DefaultParagraphFont"/>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 за участие в мярка 9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горните три елемента пакета 6 може да включа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2А - чрез подмярка 2.1. със следните операции: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3А - чрез подмярка 2.1 със следните операции: 2.1.1 с дейност консултантски пакет „3А“ и 2.1.2. с дейност консултантски пакет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3Б - чрез подмярка 2.1. със следните операции: 2.1.1с дейност консултантски пакет „А3Б“ и 2.1.2. с дейностите по консултантски пакет 6, буква 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4А - чрез подмярка 2.1. със следните операции: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4Б - чрез подмярка 2.1. със следните операции: 2.1.1 с дейност консултантски пакет „А4Б“ и 2.1.2 с дейност консултантски пакет 4;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4В - чрез подмярка 2.1. със следните операции: 2.1.1 с дейност консултантски пакет „А4В“ и 2.1.2 с дейности консултантски пакети 1 и 2;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5А - чрез подмярка 2.1. със следните операции: 2.1.1 с дейност консултантски пакет „А5А“ и 2.1.2 с дейност консултантски пакет 2;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5Б и 5В – чрез подмярка 2.1. със следните операции: 2.1.1 с дейност консултантски пакет „А5БВ“;  и 2.1.2 с дейност консултантски пакети 1 ,2 и 3;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5Г - чрез подмярка 2.1. със следните операции: 2.1.1 с дейност консултантски пакет „А5Г“ и 2.1.2 с дейност консултантски пакети 1 ,2 и 3;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5Д - чрез подмярка 2.1. със следните операции: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6А - чрез подмярка 2.1. с операция 2.1.2 с дейностите по консултантски пакет 5, буква 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всеки консултантски пакет и по двете операции 2.1.1 и 2.1.2 задължително се включва следното: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едно посещение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всеки консултантски пакет по операция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всеки консултантски пакет по операция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операция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м областта на околната среда, климат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Операция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3"/>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Операцията  допринася към следните приоритетни области: 2А; 2Б; 3А; 3Б; 4А; 4Б; 4В; 5А; 5Б; 5В;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операцията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Операция 2.1.1  се подкрепят два вида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операцията има принос.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операция 2.1.1 има принос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А2А - Консултантски пакет по приоритетна област 2А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А2Б - Консултантски пакет по приоритетна област 2Б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А3А - Консултантски пакет по приоритетна област 3А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А3Б - Консултантски пакет по приоритетна област 3Б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А4А - Консултантски пакет по приоритетна област 4А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А4Б - Консултантски пакет по приоритетна област 4Б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А4В - Консултантски пакет по приоритетна област 4В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А5А - Консултантски пакет по приоритетна област 5А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А5Г - Консултантски пакет по приоритетна област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операцията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пакет А2Б при прилагане на процедурата на вътрешно изключване от НССЗ се определя като стандартен разход с размер на сумата 814 евро за консултантския пакет.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наличието на редовно обучен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консултантски опит;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Конкретните изисквания за условията са посочени в т. е) специфична информация за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се предвиди процедура на докладване и периодично представяне на доказателства.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Интензитет и размер на помощта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2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операцията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4"/>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с изключение на първоначалното предоставяне на пакет А2Б на кандидатите по подмярка 6.1. от НССЗ за пакет А2Б.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Операция 2.1.2 Консултантски услуги за малки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5"/>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Операцията  допринася към следните приоритетни области: 2А; 3А; 4А; 4Б; 4В; 5А; 5Б; 5В;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Консултациите предоставяни по тази операция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операция 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Целта на операцията е бърз и лесен достъп на малките стопанства до качествени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операциятa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ТП1 - Пакет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ТП2 - Пакет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ТП3 - Пакет 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ТП4 - Пакет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ТП5 - Пакет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ТП6 - Пакет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операция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операция 2.1.2. за всеки един консултантски пакет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ТП1 - Пакет 1 - 453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ТП2 - Пакет 2- 296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ТП3 - Пакет 3- 120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ТП4 - Пакет 4- 425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ТП5 - Пакет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само елемент А -  438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само елемент Б -  550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само елемент В -  494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елементи А и Б заедно -  662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елементи А и В заедно -  623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елементи А, Б и В заедно  -  916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елементи Б и В заедно -  707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ТП6 - Пакет 6- 278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наличието на редовно обучен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консултантски опит;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операция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2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26"/>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стойността на разходите за операция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операция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7"/>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и храните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 бенефициент е НССЗ.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и командировъчни разходи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обхващат минимум две съседни общини;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Общината, в която са разположени да е  извън  областния град</w:t>
            </w:r>
            <w:r>
              <w:rPr>
                <w:rStyle w:val="DefaultParagraphFont"/>
                <w:rFonts w:ascii="Times New Roman" w:eastAsia="Times New Roman" w:hAnsi="Times New Roman" w:cs="Times New Roman"/>
                <w:i/>
                <w:iCs/>
                <w:szCs w:val="24"/>
              </w:rPr>
              <w:t>;</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население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 на тези критерии в наредбата за прилагане на мярката ще бъде определено местоположението и териториалния обхват на офисите.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1-ва година -100%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2-ра година - 95%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3-та година - 90%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4-та година - 85%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5-та година - 80%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 размер на допустимите разходи ще се определя от Управляващият орган на ПРСР за всяка една година на подпомагане на база на изпратени предварителни разчети от страна на НССЗ.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5"/>
        <w:jc w:val="left"/>
        <w:rPr>
          <w:b w:val="0"/>
        </w:rPr>
      </w:pPr>
      <w:r>
        <w:rPr>
          <w:b w:val="0"/>
        </w:rPr>
        <w:br w:type="page"/>
      </w:r>
      <w:r>
        <w:rPr>
          <w:b w:val="0"/>
        </w:rPr>
        <w:t>Подмярка 2.3 Подпомагане за обучение на консултанти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8"/>
              </w:numPr>
              <w:rPr>
                <w:b w:val="0"/>
              </w:rPr>
            </w:pPr>
            <w:r>
              <w:rPr>
                <w:b w:val="0"/>
              </w:rPr>
              <w:t>2.3 — подкрепа за обучение на консултанти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Подмярката допринася към следните приоритетни области: </w:t>
            </w:r>
            <w:r>
              <w:rPr>
                <w:rStyle w:val="DefaultParagraphFont"/>
                <w:rFonts w:ascii="Times New Roman" w:eastAsia="Times New Roman" w:hAnsi="Times New Roman" w:cs="Times New Roman"/>
                <w:b/>
                <w:bCs/>
                <w:szCs w:val="24"/>
              </w:rPr>
              <w:t>4А; 4Б; 4В; 5А; 5Б; 5В;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предоставя помощ за обучение на консултанти. Обучението на консултантите се определя като дейности за обучение за консултанти, ангажирани от организациите, доставчици на консултантски услуги. Обучението на консултантите  включва два вида обучителни дейности – семинари или курсове. Семинарите могат да бъда с продължителност от 1 до 3 дни. Курсовете могат да бъдат с продължителност от една до четири седмици. Темите за семинарите и курсовете за обучението на консултантите трябва да обхващат действащо или ново европейско и национално законодателство, новости, практики, научни резултати и други в приоритетните области по приоритет 4 и приоритет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разходи се изплащат на бенефициентите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предоставя помощ за обучение на физически лица, които са наети към юридически лица или еднолични търговци, идентифицирани като  консултантски организации. Обучението се извършва от доставчици на обучение, които се определят като обучаващи организации по подмярката.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одобрение за получаване на подкрепа за обучение на консултантите в състава на организацията, консултантските организации трябва да представят план за обучение по приоритетните области на приоритет 4 и приоритет 5, брой консултанти, които са включени в плана по приоритети и бюджет за обучение. В рамките на одобрения бюджет консултантските организации могат да сключват договори за обучение на консултантите с обучаващи организации, които са избрани чрез тръжна процедура и са включени в Регистъра на обучаващите организации по подмярка 2.3. По процедурата за получаване на подпомагане за обучение за консултанти могат да участват консултантски организации, които отговарят на критериите, посочени в т. Специфична информация за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национално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както и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доставчиците на обучение за консултанти, които се определят като обучаващи организации по подмярка 2.3. За осъществяване на качествено обучение на консултантите, обучаващите организации могат да привличат и външни експерти с доказан професионален опит в областите на приложение на приоритет 4 и приоритет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се избират след провеждане на процедура по правилата за обществените поръчки.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разходите за предоставяне на услугата обучение на консултанти. Разходите могат да включват</w:t>
            </w:r>
            <w:r>
              <w:rPr>
                <w:rStyle w:val="DefaultParagraphFont"/>
                <w:rFonts w:ascii="Times New Roman" w:eastAsia="Times New Roman" w:hAnsi="Times New Roman" w:cs="Times New Roman"/>
                <w:b/>
                <w:bCs/>
                <w:szCs w:val="24"/>
              </w:rPr>
              <w:t>:</w:t>
            </w:r>
          </w:p>
          <w:p>
            <w:pPr>
              <w:numPr>
                <w:ilvl w:val="0"/>
                <w:numId w:val="12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направени при организиране и доставяне на обучението на консултантите, включително заплати на служители на обучаващата организация, разходи за лектори, разходи за пътувания, материали, изготвени за обучението;</w:t>
            </w:r>
          </w:p>
          <w:p>
            <w:pPr>
              <w:numPr>
                <w:ilvl w:val="0"/>
                <w:numId w:val="12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мястото, където се доставя обучението, включително разходи за наем на зали и наем за демонстрационни обекти или обекти за практическо обучение.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Обучаващите организации трябва да отговарят на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„Науки за земята“, „Биологически науки“, „Икономика“, „Енергетика“, „Биотехнологии“, „Хранителни технологии“, „Общо инженерство“;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професионална гимназия по Закона за професионално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851 „Технологии за опазване на околната среда“;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научни институти, които извършват научни изследвания и научно обслужване в областта на селското стопанство или горското стопанство, или опазване на околната среда, или хранителните технологии, или биотехнологиите и да са организации по Закона за Селскостопанската академия, Закона за Българската академия на науките, Закона за горите.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на обучаващите организации се базират на следните принципи и характеристики:</w:t>
            </w:r>
          </w:p>
          <w:p>
            <w:pPr>
              <w:numPr>
                <w:ilvl w:val="0"/>
                <w:numId w:val="13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 на опита на организацията в изпълнение на подобни дейности на дейностите, за които се кандидатства;</w:t>
            </w:r>
          </w:p>
          <w:p>
            <w:pPr>
              <w:numPr>
                <w:ilvl w:val="0"/>
                <w:numId w:val="13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 на квалификацията и опита на преподавателския персонал, който ще бъде пряко ангажиран в осъществяване на конкретните обучителни дейности;</w:t>
            </w:r>
          </w:p>
          <w:p>
            <w:pPr>
              <w:numPr>
                <w:ilvl w:val="0"/>
                <w:numId w:val="13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 на условията за провеждане на обучителните дейности.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обучение на консултанти е ограничена до 200 000 евро на три години.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3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3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точка: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Специфични условия за операция 2.1.2 и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Процедура за прилагането на критериите за подбор по операция 2.1.1 и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консултантски организации по операция  2.1.1и на обучаващите организации по подмярка 2.3 се извършва чрез прилагането на правилата за обществените поръчки. В Комисията за оценка за операция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и храните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14" w:name="_Toc256000114"/>
      <w:r>
        <w:rPr>
          <w:b w:val="0"/>
        </w:rPr>
        <w:t>M04 — Инвестиции в материални активи (член 17)</w:t>
      </w:r>
      <w:bookmarkEnd w:id="11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 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Области на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2"/>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Връзка с друго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Първи стълб на ОСП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„Вино”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„Пчеларство”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w:t>
            </w:r>
            <w:r>
              <w:rPr>
                <w:rStyle w:val="DefaultParagraphFont"/>
                <w:rFonts w:ascii="Times New Roman" w:eastAsia="Times New Roman" w:hAnsi="Times New Roman" w:cs="Times New Roman"/>
                <w:b/>
                <w:bCs/>
                <w:i/>
                <w:iCs/>
                <w:szCs w:val="24"/>
              </w:rPr>
              <w:t>„Тютюн”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„Зехтин”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„Хмел”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„Захар”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Земеделски производители /Физически и Юридически лица/:</w:t>
            </w:r>
          </w:p>
          <w:p>
            <w:pPr>
              <w:numPr>
                <w:ilvl w:val="0"/>
                <w:numId w:val="133"/>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3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3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33"/>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Групи/Организации на производители:</w:t>
            </w:r>
          </w:p>
          <w:p>
            <w:pPr>
              <w:numPr>
                <w:ilvl w:val="0"/>
                <w:numId w:val="134"/>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3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3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34"/>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Допустими разходи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Материални инвестиции:</w:t>
            </w:r>
          </w:p>
          <w:p>
            <w:pPr>
              <w:numPr>
                <w:ilvl w:val="0"/>
                <w:numId w:val="135"/>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3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3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3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3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3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3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3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Нематериални инвестиции: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Закупуване на софтуер;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Style w:val="DefaultParagraphFont"/>
                <w:rFonts w:ascii="Times New Roman" w:eastAsia="Times New Roman" w:hAnsi="Times New Roman" w:cs="Times New Roman"/>
                <w:szCs w:val="24"/>
              </w:rPr>
              <w:br/>
            </w:r>
            <w:r>
              <w:rPr>
                <w:rStyle w:val="DefaultParagraphFont"/>
                <w:rFonts w:ascii="Times New Roman" w:eastAsia="Times New Roman" w:hAnsi="Times New Roman" w:cs="Times New Roman"/>
                <w:szCs w:val="24"/>
              </w:rPr>
              <w:t>риба и рибни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Техническите характеристики на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Style w:val="DefaultParagraphFont"/>
                <w:rFonts w:ascii="Times New Roman" w:eastAsia="Times New Roman" w:hAnsi="Times New Roman" w:cs="Times New Roman"/>
                <w:i/>
                <w:iCs/>
                <w:szCs w:val="24"/>
              </w:rPr>
              <w:t>,</w:t>
            </w:r>
            <w:r>
              <w:rPr>
                <w:rStyle w:val="DefaultParagraphFont"/>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 Капацитетът на инсталациите, които са обект на подпомагане не трябва да надвишават мощност от 1 мегават.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Style w:val="DefaultParagraphFont"/>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 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20 %;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15 %.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70 %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90 %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1 500 000 евро, като максималният размер на допустимите разходи за един проект не може да надхвърля 1 500 000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4 000 000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5 000 000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1 500 000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3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36"/>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7"/>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numPr>
                <w:ilvl w:val="0"/>
                <w:numId w:val="13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numPr>
                <w:ilvl w:val="0"/>
                <w:numId w:val="13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numPr>
                <w:ilvl w:val="0"/>
                <w:numId w:val="13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numPr>
                <w:ilvl w:val="0"/>
                <w:numId w:val="13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намаляване на потреблението на енергия;</w:t>
            </w:r>
          </w:p>
          <w:p>
            <w:pPr>
              <w:numPr>
                <w:ilvl w:val="0"/>
                <w:numId w:val="13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производство на биоенергия за нуждите на земеделските стопанства;</w:t>
            </w:r>
          </w:p>
          <w:p>
            <w:pPr>
              <w:numPr>
                <w:ilvl w:val="0"/>
                <w:numId w:val="13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машини, оборудване и съоръжения за опазване на околната среда;</w:t>
            </w:r>
          </w:p>
          <w:p>
            <w:pPr>
              <w:numPr>
                <w:ilvl w:val="0"/>
                <w:numId w:val="13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„плодове и зеленчуци“ и „етерично-маслени и лекарствени култури“.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подпомагат бенефициенти одобрени по мярка 112 Създаване на млади фермери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придобиване и подобряване на недвижимо имущество, включително чрез лизинг;</w:t>
            </w:r>
          </w:p>
          <w:p>
            <w:pPr>
              <w:numPr>
                <w:ilvl w:val="0"/>
                <w:numId w:val="1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нови машини, съоръжения и оборудване, включително компютърен софтуер до пазарната стойност на активите, включително чрез лизинг;</w:t>
            </w:r>
          </w:p>
          <w:p>
            <w:pPr>
              <w:numPr>
                <w:ilvl w:val="0"/>
                <w:numId w:val="1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numPr>
                <w:ilvl w:val="0"/>
                <w:numId w:val="1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numPr>
                <w:ilvl w:val="0"/>
                <w:numId w:val="13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„плодове и зеленчуци“ и „етерично-маслени и лекарствени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стопанства от секторите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4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4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4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33  - 10 %;</w:t>
            </w:r>
          </w:p>
          <w:p>
            <w:pPr>
              <w:numPr>
                <w:ilvl w:val="0"/>
                <w:numId w:val="14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4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4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Административен капацитет.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раздел 8.1 "Общи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стопанства от секторите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41"/>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4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4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 xml:space="preserve">Първи стълб на ОСП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„Вино”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„Пчеларство”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w:t>
            </w:r>
            <w:r>
              <w:rPr>
                <w:rStyle w:val="DefaultParagraphFont"/>
                <w:rFonts w:ascii="Times New Roman" w:eastAsia="Times New Roman" w:hAnsi="Times New Roman" w:cs="Times New Roman"/>
                <w:b/>
                <w:bCs/>
                <w:i/>
                <w:iCs/>
                <w:szCs w:val="24"/>
              </w:rPr>
              <w:t>„Тютюн”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„Зехтин”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„Хмел”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„Захар”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Бенефициенти: </w:t>
            </w:r>
          </w:p>
          <w:p>
            <w:pPr>
              <w:numPr>
                <w:ilvl w:val="0"/>
                <w:numId w:val="14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4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4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4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4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4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4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 инвестиции:</w:t>
            </w:r>
          </w:p>
          <w:p>
            <w:pPr>
              <w:numPr>
                <w:ilvl w:val="0"/>
                <w:numId w:val="146"/>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4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4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4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4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46"/>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Нематериални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Закупуване на софтуер;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предприятието. Капацитетът на инсталациите, които са обект на подпомагане не трябва да надвишават мощност от 1 мегават.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Style w:val="DefaultParagraphFont"/>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2.Месо и месни продукти,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3.Плодове и зеленчуци, включително гъби,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4.Пчелен мед,</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5.Зърнени, мелничарски  и нишестени продукти,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6.Растителни и животински масла и мазнини,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8.Готови храни за селскостопански животни,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9.Гроздова мъст, вино и оцет,</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4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дейности, подпомагани по линия на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3 000 000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3 000 000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4 000 000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5 000 000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4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48"/>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49"/>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5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5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5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5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5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5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„плодове и зеленчуци“ и „етерично –маслени и лекарствени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„плодове и зеленчуци“ и „етерично-маслени и лекарствени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които:</w:t>
            </w:r>
          </w:p>
          <w:p>
            <w:pPr>
              <w:numPr>
                <w:ilvl w:val="0"/>
                <w:numId w:val="15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5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Размерът на финансовата помощ се увеличава с 10 процентни пункта, </w:t>
            </w:r>
            <w:r>
              <w:rPr>
                <w:rStyle w:val="DefaultParagraphFont"/>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Style w:val="DefaultParagraphFont"/>
                <w:rFonts w:ascii="Times New Roman" w:eastAsia="Times New Roman" w:hAnsi="Times New Roman" w:cs="Times New Roman"/>
                <w:szCs w:val="24"/>
              </w:rPr>
              <w:t>за проекти с  дейности, подпомагани по линия на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Административен капацитет.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които:</w:t>
            </w:r>
          </w:p>
          <w:p>
            <w:pPr>
              <w:numPr>
                <w:ilvl w:val="0"/>
                <w:numId w:val="15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5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4.4 „Непроизводствени инвестиции“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54"/>
              </w:numPr>
              <w:rPr>
                <w:b w:val="0"/>
              </w:rPr>
            </w:pPr>
            <w:r>
              <w:rPr>
                <w:b w:val="0"/>
              </w:rPr>
              <w:t>4.4 — подкрепа за инвестиции в непроизводствени дейности, свързани с постигане на агроекологичните цели и целите в областта на климата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непроизводствени дейности предоставят възможност за насърчаване в значителна степен правилното използване на ландшафта по екологосъобразен начин. Необходимо е въвеждане на природосъобразни практики за опазване на биологичното разнообразие в земите с висока природна стойност и зоните от Натура 2000 и съхраняване на ценните местообитания и видове. За спазване на някои от забраните в местата от Натура 2000 са необходими и специфични инвестиции, свързани с опазването на биоразнообразието в тях. Също така е необходимо да се ограничат деградационните процеси на почвата чрез прилагане на екологосъобразни методи, предотвратяващи деградация на почвата и иновации в прилагане на техниките и технологии за екологосъобразни практики. Подкрепата за непроизводствени дейности, свързани с ползването на земите и опазването и в добро земеделско и екологично състояние ще предотвратят изоставянето на земеделските земи и ще се намали почвената ерозия. Чрез непроизводствени инвестиции по подмярката ще се запази ландшафта и богатсвото на флората и фауната в районите с висока природна стойност и Натура 2000, подобряване на състоянието на околната среда. Подкрепата по подмярката е насочена към инвестиции в непроизводствени дейности свързани с постигане на агроекологичните и климатични цели на територията на цялата страна, включително ангажиментите за запазване на биологичното разнообразие на местообитанията и видовете, както и за увеличаване на привлекателността на районите от Натура 2000 или райони с висока природна стойност.</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непроизводствени инвестиции, които не водят до значително увеличаване на стойността, рентабилността и производствения капацитет на земеделското стопанство. Предвидената подкрепа е насочена към дейности свързани със създаването и възстановяване на равнинни и полупланински характеристики на ландшафта от дървесни видове от  местен произход, възстановяване и създаване на влажни зони, възстановяване на пасища и ливади, управление на местообитания, включително в обхвата на Натура 2000 и такива свързани с контрол на почвената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Непроизводствени инвестиции за придобиване на активи: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подобрителни мероприятия в пасищата.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Непроизводствени инвестиции в стопанствата обвързани с обработваемата площ и пряко свързани 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Възстановяване и поддържане на затревени площи с висока природна стойност: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 възстановяване на групи дървета и дървесни ивици с определена площ, разположени в равнинни обработваеми земи и /или и полупланински пасища и ливади, възстановяване на полска граница /синори и живи плетове/ с определена площ. Възстановяване на влаголюбива растителност, укрепване на бреговете при наклон, разчистване от нежелана растителност;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-Разчистване на нежелана растителност, презасяване със смески с местен произход, подобрителни мероприятия в пасищата - почистване на пасищата от камъни, храсти и вредна растителност;</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Поддържане на местообитанията на защитени видове в обработваеми: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малки елементи за облагородяване на местата - построяване на къщички за птици, изграждане на беседки, екопътеки, поставяне на обозначителни информационни табели и др., включително изграждане на малки водоеми;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Контрол на почвената ерозия: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затревени буферни ивици и изграждане на наорни тераси.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Традиционни практики за сезонна паша: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навеси и заслони за стадата и хората на отдалечени места, изграждане на места за водопой.</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Връзка с друго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Земеделски производители /Физически и Юридически лица/: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Минималния стандартен производствен обем на стопанството на кандидата следва да бъде не по - малко от 8 000 евро;</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Кандидатите следва да представят бизнес план, доказващ положителен финансов резултат от дейността на земеделското стопанство и принос към опазване на компонентите на околната среда  на планираните инвестиции и дейности включени в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Групи/Организации на производители: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Инвестициите следва да са свързани с основата земеделска дейност на членовете на организацията, която е основна и за организацията;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Кандидатите следва да представят бизнес план, доказващ положителен финансов резултат от земеделската дейност на земеделските стопанства на членовете и основна за организацията и принос към опазване на компонентите на околната среда чрез прилагане на планираните инвестиции и дейности включени в проекта;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Проектът трябва да показва, че инвестициите са от полза на цялата организация на производители и допринасят за опазване на компонентите на околната среда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Представените от кандидатите за подпомагане дейности трябва да допринасят положително за опазване на компонентите на околната среда.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Закупуване на посадъчен материал и тревни смески, механизирани и ръчни услуги свързани с постигане изпълнението на подпомаганите дейности, включително възстановяване на влаголюбива растителност, укрепване на бреговете при наклон, разчистване от нежелана растителност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2. Изграждане, придобиване и подобряване на недвижимо имущество, </w:t>
            </w:r>
            <w:r>
              <w:rPr>
                <w:rStyle w:val="DefaultParagraphFont"/>
                <w:rFonts w:ascii="Times New Roman" w:eastAsia="Times New Roman" w:hAnsi="Times New Roman" w:cs="Times New Roman"/>
                <w:i/>
                <w:iCs/>
                <w:szCs w:val="24"/>
              </w:rPr>
              <w:t>като например: изграждане на навеси и заслони за стадата и хората на отдалечени места, изграждане на места за водопой, поставяне обозначителни табели и изграждане на къщички за птици, кацалки, платформи за гнезда, обособяване на пътеки, подържане и изграждане на малки водоеми в затревени площи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включващи  инвестиции за подържане и изграждане на малки водоеми трябва да отговарят на изискванията на Рамковата директива за водите (2000/60/ЕО) и Плановете за управление на речните басейни съгласувано от съответната структура на МОСВ/Басейнова дирекция/.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обикновена подмяна и поддръжка;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оборудване втора ръка;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в натура;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дейности, за които не е представена оценка на въздействие върху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финансовата помощ приоритет ще бъде осигурен за подпомагане на проекти представени от биологични производители. Приоритет ще бъде предоставен за кандидати, в чиито стопанства са налице доброволно поети ангажименти за изпълнение на агроекологични дейности. Приоритет ще бъде предоставян за проекти допринасящи за насърчаване на кооперирането между производителите и такива, които се изпълняват в места от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приоритетите, включени в подмярката ще бъде постигано с целеви приеми и критерии за оценка, чиято тежест ще бъде определена в националното законодателство.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инвестиции в непроизводствени инвестиции е в размер на 100%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едно проектно предложение е в рамките 3 500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50 000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Максималните нива на допустимите разходи ще бъдат ограничени на база вида на инвестиционната подкрепа.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промяна на условията, за които кандидатът е получил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5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5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Въвеждане на адекватно разграничаване на отделните операции и бенефициенти, допустими по мерките от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Контролните процедури ще включват проверки за спазването на условията, за които бенефициента е получил приоритет.</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спомогне за въвеждане на природосъобразни практики за опазване на биологичното разнообразие и правилно използване на ландшафта. 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4.4.2 Непроизводствени инвестиции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56"/>
              </w:numPr>
              <w:rPr>
                <w:b w:val="0"/>
              </w:rPr>
            </w:pPr>
            <w:r>
              <w:rPr>
                <w:b w:val="0"/>
              </w:rPr>
              <w:t>4.4 — подкрепа за инвестиции в непроизводствени дейности, свързани с постигане на агроекологичните цели и целите в областта на климата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Малките стопанства имат значителен принос по отношение опазване на природните ресурси, ландшафта и биоразнообразието в България. Опазването, възстановяването и подходящото им управление е главната цел на устойчивото развитие на селските райони. Чрез непроизводствени инвестиции по тази операция ще се запази ландшафта и богатството на флората и фауната в районите с висока природна стойност и Нтура 2000, подобряване състоянието на околната среда. Подкрепата по операцията е насочена към инвестиции в непроизводствени дейности, свързани с постигане на агроекологичните и климатични цели, включително ангажиментите за запазване на биологичната разнообразие на местообитанията и видовете, както и за увеличаване на привлекателността на районите от Натура 2000 или районите с висока природна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5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капиталови дейности в рамките на ангажиментите по агроекологията и климата и Натура 2000, например възстановяване на местообитания и ландшафти, включително създаване или повторно обезпечаване на необходимата инфраструктура, за да се осъществява подходящо управление на местообитанията;</w:t>
            </w:r>
          </w:p>
          <w:p>
            <w:pPr>
              <w:numPr>
                <w:ilvl w:val="0"/>
                <w:numId w:val="15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ограждане и други работи за улесняване управлението по опазването, включително системи за защита на водите и почвата;</w:t>
            </w:r>
          </w:p>
          <w:p>
            <w:pPr>
              <w:numPr>
                <w:ilvl w:val="0"/>
                <w:numId w:val="15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на влажни зони;</w:t>
            </w:r>
          </w:p>
          <w:p>
            <w:pPr>
              <w:numPr>
                <w:ilvl w:val="0"/>
                <w:numId w:val="15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на елементите и функциите на ландшафта.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19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 стопанства.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разходи по тази подмярка са: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на навеси (кошари) и заслони за стадата и хората на отдалечени места в планината с цел стимулиране пашуването в отдалечени места;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на места за водопой на добитъка;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Поставяне на обозначителни табели;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на къщички за птици, кацалки, платформи за гнезда;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Обособяване на пътеки за пешеходни и колоездачни маршрути;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Поддържане на естествените малки водоеми, които се намират на територията на затревени площи;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на малки водоеми (до 500 кв. м) с постоянно водно огледало. Водоемите се изграждат от естествени материали, без бетон, желязо и др.; без зарибяване и без екзотични растения; не се допуска достъп на животни в тях;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Засаждане на единични и/или групи дървета, от местни видове и поддържането  им за период от 5 години;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Други добре обосновани от кандидатите дейности, които биха допринесли за опазване на биологичното разнообразие в стопанисваните от него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Предимство ще се дава на земеделски стопани, бенефициенти по мерките Агроекология и климат, Натура 2000 и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на 100 %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помощта за едно проектно предложение е 25 000 евро, а за проекти представляващи колективни инвестиции 50 000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Липсата на разбиране на изискванията и информираност от страна на бенефициентите,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Въвеждане на адекватно разграничаване на отделните операции и бенефициенти, допустими по мерките от ПРСР и по отношение на І стълб от ОСП;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раздел 8.1 „Общи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Предимство ще се дава на земеделски стопани, бенефициенти по мерките Агроекология и климат, Натура 2000 и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5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5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5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5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5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Действията свързани с преодоляване на рисковите области ще бъдат насочени към:</w:t>
            </w:r>
          </w:p>
          <w:p>
            <w:pPr>
              <w:numPr>
                <w:ilvl w:val="0"/>
                <w:numId w:val="15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Ясно и точно дефиниране в приложимото законодателство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numPr>
                <w:ilvl w:val="0"/>
                <w:numId w:val="1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информираност, публичност, съвети и обучения на потенциални кандидати и бенефициентите, с цел гарантиране повишаването на компетенциите им и изпълнението на техните задължения и ангажименти.</w:t>
            </w:r>
          </w:p>
          <w:p>
            <w:pPr>
              <w:numPr>
                <w:ilvl w:val="0"/>
                <w:numId w:val="1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административния капацитет по отношение извършването на проверки в областта на обществените поръчки чрез обучения, семинари, обмяна на опит и др.</w:t>
            </w:r>
          </w:p>
          <w:p>
            <w:pPr>
              <w:numPr>
                <w:ilvl w:val="0"/>
                <w:numId w:val="1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Усъвършенстване на съществуващите системи за контрол и разработването на нови такива на база натрупания опит по отношение на спецификата на различните видове инвестиционна подкрепа. Системите за контрол и оценка ще гарантират, че съответните избрани операции отговарят на критериите и изискванията заложени в Програмата.</w:t>
            </w:r>
          </w:p>
          <w:p>
            <w:pPr>
              <w:numPr>
                <w:ilvl w:val="0"/>
                <w:numId w:val="15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балансирано разпределение на средствата ще бъде осигурено целево насочване на финансовия ресурс към чувствителни сектори определени в Програмата.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Недопустими разходи за подмерки 4.1, 4.2 и 4.4:</w:t>
            </w:r>
          </w:p>
          <w:p>
            <w:pPr>
              <w:numPr>
                <w:ilvl w:val="0"/>
                <w:numId w:val="16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обикновена подмяна и поддръжка;</w:t>
            </w:r>
          </w:p>
          <w:p>
            <w:pPr>
              <w:numPr>
                <w:ilvl w:val="0"/>
                <w:numId w:val="1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оборудване втора ръка;</w:t>
            </w:r>
          </w:p>
          <w:p>
            <w:pPr>
              <w:numPr>
                <w:ilvl w:val="0"/>
                <w:numId w:val="1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в натура;</w:t>
            </w:r>
          </w:p>
          <w:p>
            <w:pPr>
              <w:numPr>
                <w:ilvl w:val="0"/>
                <w:numId w:val="1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6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Финансови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Авансово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61"/>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6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Административно и финансово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6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Прекратяване или преместване на производствена дейност;</w:t>
            </w:r>
          </w:p>
          <w:p>
            <w:pPr>
              <w:numPr>
                <w:ilvl w:val="0"/>
                <w:numId w:val="16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6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Процент съфинансиране: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pStyle w:val="BodyText"/>
              <w:jc w:val="both"/>
              <w:rPr>
                <w:b w:val="0"/>
              </w:rPr>
            </w:pPr>
          </w:p>
        </w:tc>
      </w:tr>
    </w:tbl>
    <w:p>
      <w:pPr>
        <w:pStyle w:val="Heading3"/>
        <w:jc w:val="left"/>
        <w:rPr>
          <w:b w:val="0"/>
        </w:rPr>
      </w:pPr>
      <w:r>
        <w:rPr>
          <w:b w:val="0"/>
        </w:rPr>
        <w:br w:type="page"/>
      </w:r>
      <w:bookmarkStart w:id="115" w:name="_Toc256000115"/>
      <w:r>
        <w:rPr>
          <w:b w:val="0"/>
        </w:rPr>
        <w:t>M06 — Развитие на стопанства и предприятия (член 19)</w:t>
      </w:r>
      <w:bookmarkEnd w:id="11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периода 2007-2012 г. се наблюдават значителни промени в </w:t>
            </w:r>
            <w:r>
              <w:rPr>
                <w:rStyle w:val="DefaultParagraphFont"/>
                <w:rFonts w:ascii="Times New Roman" w:eastAsia="Times New Roman" w:hAnsi="Times New Roman" w:cs="Times New Roman"/>
                <w:i/>
                <w:iCs/>
                <w:szCs w:val="24"/>
              </w:rPr>
              <w:t>отрасловата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структура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земеделието</w:t>
            </w:r>
            <w:r>
              <w:rPr>
                <w:rStyle w:val="DefaultParagraphFont"/>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Принос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мярката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към</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междусекторните</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цели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приоритетни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области</w:t>
            </w:r>
            <w:r>
              <w:rPr>
                <w:rStyle w:val="DefaultParagraphFont"/>
                <w:rFonts w:ascii="Times New Roman" w:eastAsia="Times New Roman" w:hAnsi="Times New Roman" w:cs="Times New Roman"/>
                <w:b/>
                <w:bCs/>
                <w:i/>
                <w:i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w:t>
            </w:r>
            <w:r>
              <w:rPr>
                <w:rStyle w:val="DefaultParagraphFont"/>
                <w:rFonts w:ascii="Times New Roman" w:eastAsia="Times New Roman" w:hAnsi="Times New Roman" w:cs="Times New Roman"/>
                <w:b/>
                <w:bCs/>
                <w:szCs w:val="24"/>
              </w:rPr>
              <w:t xml:space="preserve"> 2</w:t>
            </w: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xml:space="preserve"> (отнася се за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w:t>
            </w:r>
            <w:r>
              <w:rPr>
                <w:rStyle w:val="DefaultParagraphFont"/>
                <w:rFonts w:ascii="Times New Roman" w:eastAsia="Times New Roman" w:hAnsi="Times New Roman" w:cs="Times New Roman"/>
                <w:b/>
                <w:bCs/>
                <w:szCs w:val="24"/>
              </w:rPr>
              <w:t xml:space="preserve"> 2</w:t>
            </w:r>
            <w:r>
              <w:rPr>
                <w:rStyle w:val="DefaultParagraphFont"/>
                <w:rFonts w:ascii="Times New Roman" w:eastAsia="Times New Roman" w:hAnsi="Times New Roman" w:cs="Times New Roman"/>
                <w:b/>
                <w:bCs/>
                <w:szCs w:val="24"/>
              </w:rPr>
              <w:t>Б</w:t>
            </w:r>
            <w:r>
              <w:rPr>
                <w:rStyle w:val="DefaultParagraphFont"/>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w:t>
            </w:r>
            <w:r>
              <w:rPr>
                <w:rStyle w:val="DefaultParagraphFont"/>
                <w:rFonts w:ascii="Times New Roman" w:eastAsia="Times New Roman" w:hAnsi="Times New Roman" w:cs="Times New Roman"/>
                <w:b/>
                <w:bCs/>
                <w:szCs w:val="24"/>
              </w:rPr>
              <w:t xml:space="preserve"> 3</w:t>
            </w: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xml:space="preserve"> (отнася се за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w:t>
            </w:r>
            <w:r>
              <w:rPr>
                <w:rStyle w:val="DefaultParagraphFont"/>
                <w:rFonts w:ascii="Times New Roman" w:eastAsia="Times New Roman" w:hAnsi="Times New Roman" w:cs="Times New Roman"/>
                <w:b/>
                <w:bCs/>
                <w:szCs w:val="24"/>
              </w:rPr>
              <w:t xml:space="preserve"> 5</w:t>
            </w:r>
            <w:r>
              <w:rPr>
                <w:rStyle w:val="DefaultParagraphFont"/>
                <w:rFonts w:ascii="Times New Roman" w:eastAsia="Times New Roman" w:hAnsi="Times New Roman" w:cs="Times New Roman"/>
                <w:b/>
                <w:bCs/>
                <w:szCs w:val="24"/>
              </w:rPr>
              <w:t>В</w:t>
            </w:r>
            <w:r>
              <w:rPr>
                <w:rStyle w:val="DefaultParagraphFont"/>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 6А</w:t>
            </w:r>
            <w:r>
              <w:rPr>
                <w:rStyle w:val="DefaultParagraphFont"/>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Цели на мярката:</w:t>
            </w:r>
          </w:p>
          <w:p>
            <w:pPr>
              <w:numPr>
                <w:ilvl w:val="0"/>
                <w:numId w:val="16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16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16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сезонните колебания в заетостта;</w:t>
            </w:r>
          </w:p>
          <w:p>
            <w:pPr>
              <w:numPr>
                <w:ilvl w:val="0"/>
                <w:numId w:val="16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65"/>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съответните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Определение за създаване на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Създаването на стопанството е период, в който се отчитат следните събития: началото на създаването, период на кандидатстване за подпомагане по подмярката и край на създаването на стопанството. Събитията се определят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начало на създаване на стопанство се има предвид едно от следните събития, което е настъпило първо:</w:t>
            </w:r>
          </w:p>
          <w:p>
            <w:pPr>
              <w:numPr>
                <w:ilvl w:val="0"/>
                <w:numId w:val="16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1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16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могат да заявят подпомагане не по-късно от 18 месеца, считано от датата, на която е стартирало създаването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16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1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1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1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1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16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16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1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в сектор „Животновъдство”</w:t>
            </w:r>
          </w:p>
          <w:p>
            <w:pPr>
              <w:numPr>
                <w:ilvl w:val="0"/>
                <w:numId w:val="1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в сектор „Плодове и зеленчуци”</w:t>
            </w:r>
          </w:p>
          <w:p>
            <w:pPr>
              <w:numPr>
                <w:ilvl w:val="0"/>
                <w:numId w:val="1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16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на млади фермери, които създават заетост и нови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169"/>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Контрол се извършва чрез посещения и проверки.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Внимание върху специфични въпроси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Младият земеделски стопанин не е допустим за второ плащане, ако:</w:t>
            </w:r>
          </w:p>
          <w:p>
            <w:pPr>
              <w:numPr>
                <w:ilvl w:val="0"/>
                <w:numId w:val="17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17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Преходни договорености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17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17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Регистрация като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включва поне:</w:t>
            </w:r>
          </w:p>
          <w:p>
            <w:pPr>
              <w:numPr>
                <w:ilvl w:val="0"/>
                <w:numId w:val="17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Резюме на плана ;</w:t>
            </w:r>
          </w:p>
          <w:p>
            <w:pPr>
              <w:numPr>
                <w:ilvl w:val="0"/>
                <w:numId w:val="1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1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17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17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17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описание на инвестициите:</w:t>
            </w:r>
          </w:p>
          <w:p>
            <w:pPr>
              <w:numPr>
                <w:ilvl w:val="0"/>
                <w:numId w:val="17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17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17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w:t>
            </w:r>
            <w:r>
              <w:rPr>
                <w:rStyle w:val="DefaultParagraphFont"/>
                <w:rFonts w:ascii="Times New Roman" w:eastAsia="Times New Roman" w:hAnsi="Times New Roman" w:cs="Times New Roman"/>
                <w:szCs w:val="24"/>
              </w:rPr>
              <w:t>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6.2 - Стартова помощ за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76"/>
              </w:numPr>
              <w:rPr>
                <w:b w:val="0"/>
              </w:rPr>
            </w:pPr>
            <w:r>
              <w:rPr>
                <w:b w:val="0"/>
              </w:rPr>
              <w:t>6.2 — помощ при стартиране за неселскостопански дейности в селските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стартиране на нови неземеделски дейности е насочена към развитието на предприемачеството и насърчаване на разнообразяването на икономиката в селските райони чрез увеличаване на броя на микропредприятията в неземеделския сектор, разкриване на нови и запазване на съществуващи работни места, разширяване и подобряване на услугите за населението, интегриране на туристическия сектор в селските райони, насърчаване на съхранението и развитието на традиционни дейности за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ще допринася към приоритетна област 6А.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подпомагане за стартиране на нови неземеделски дейности в селските райони. Дейностите трябва да са нови за предприятието или лицето, което получава подпомагането. Неземеделските дейности могат да включват:</w:t>
            </w:r>
          </w:p>
          <w:p>
            <w:pPr>
              <w:numPr>
                <w:ilvl w:val="0"/>
                <w:numId w:val="17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развитие на туризъм (изграждане и обновяване на туристически обекти и развитие на туристически услуги);</w:t>
            </w:r>
          </w:p>
          <w:p>
            <w:pPr>
              <w:numPr>
                <w:ilvl w:val="0"/>
                <w:numId w:val="1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1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1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Производство на енергия от възобновяеми енергийни източници за собствено потребление;</w:t>
            </w:r>
          </w:p>
          <w:p>
            <w:pPr>
              <w:numPr>
                <w:ilvl w:val="0"/>
                <w:numId w:val="17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 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 нивото на подкрепа са взети предвид социално-икономическите условия в страната, в това число нивото на минималната работна заплата, липсата на възможности за професионално развитие на хората с по-високо образование в селските райони и миграция на квалифицирана работна ръка, поради неконкурентно заплащане на труда, необходимостта от симулиране на предприемачеството, както и ограничения достъп до кредит и външно финансиране на предприятията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финансовата помощ е определен въз основа на средствата, необходими за осигуряване старт на нова дейност за предприятието.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Делегирани актове на основание чл. 19, параграф 8 и чл. 45, параграф 6 от Регламент (ЕС)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и стартиращи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Подмярката няма да подпомага стартиращи предприятия на безработни, които се подпомагат чрез финансови инструменти от ОПРЧР.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Начална помощ за нови неземеделски дейности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17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Подпомаганата дейност да се извършва в селски район;</w:t>
            </w:r>
          </w:p>
          <w:p>
            <w:pPr>
              <w:numPr>
                <w:ilvl w:val="0"/>
                <w:numId w:val="1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които се кандидатства не са извършвани от предприятието до момента на подаване на заявлението за подпомагане;</w:t>
            </w:r>
          </w:p>
          <w:p>
            <w:pPr>
              <w:numPr>
                <w:ilvl w:val="0"/>
                <w:numId w:val="1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Кандидатът трябва да представи разработен бизнес план за новата дейност, който да показва икономическа жизнеспособност;</w:t>
            </w:r>
          </w:p>
          <w:p>
            <w:pPr>
              <w:numPr>
                <w:ilvl w:val="0"/>
                <w:numId w:val="1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не оказва отрицателно влияние върху околната среда;</w:t>
            </w:r>
          </w:p>
          <w:p>
            <w:pPr>
              <w:numPr>
                <w:ilvl w:val="0"/>
                <w:numId w:val="1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 от общо произведената енергия;</w:t>
            </w:r>
          </w:p>
          <w:p>
            <w:pPr>
              <w:numPr>
                <w:ilvl w:val="0"/>
                <w:numId w:val="1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Стопанството на кандидати – земеделски стопани, които не са микропредприятия  трябва да има стандартен производствен обем над 8 000 евро;</w:t>
            </w:r>
          </w:p>
          <w:p>
            <w:pPr>
              <w:numPr>
                <w:ilvl w:val="0"/>
                <w:numId w:val="17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бизнес плана трябва да започне в срок до 9 месеца от решението за отпускане на помощта;</w:t>
            </w:r>
          </w:p>
          <w:p>
            <w:pPr>
              <w:numPr>
                <w:ilvl w:val="0"/>
                <w:numId w:val="17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изграждане и обновяване на туристически обекти и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за наблюдение, ще може да ограничава вида на допустимите дейности за определени приеми (целеви приеми).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одобрението на заявленията ще се следват следните принципи за определяне на критериите за подбор:</w:t>
            </w:r>
          </w:p>
          <w:p>
            <w:pPr>
              <w:numPr>
                <w:ilvl w:val="0"/>
                <w:numId w:val="18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развитие на занаяти, социални и здравни услуги;</w:t>
            </w:r>
          </w:p>
          <w:p>
            <w:pPr>
              <w:numPr>
                <w:ilvl w:val="0"/>
                <w:numId w:val="1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фокусира върху най-бедните райони (Северозападен и Северен централен район);</w:t>
            </w:r>
          </w:p>
          <w:p>
            <w:pPr>
              <w:numPr>
                <w:ilvl w:val="0"/>
                <w:numId w:val="1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numPr>
                <w:ilvl w:val="0"/>
                <w:numId w:val="1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регистрирани като тютюнопроизводители;</w:t>
            </w:r>
          </w:p>
          <w:p>
            <w:pPr>
              <w:numPr>
                <w:ilvl w:val="0"/>
                <w:numId w:val="1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18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на заетост.</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критерий, както и минималния брой точки, над които дейността ще бъде одобрена за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Безвъзмездната финансова помощ се предоставя под формата на фиксирано плащане, което не надвишава 25 000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извършва чрез две плащания, представляващи първо плащане в размер на 15 000 евро – до 3 месеца от сключване на договор и второ плащане при коректно изпълнение на бизнес плана, но не по-късно от петата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Второто плащане, в размер на 10 000 евро, се извършва, ако кандидатът коректно е изпълнил бизнес плана и е създадено най-малко едно работно място (включително самонаемане).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по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неизпълнение на заложените цели и дейности в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Отделните операции и бенефициенти, допустими по мерките подмяркатаот ПРСР са разграничени с тези по другите мерки/подмерки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критерий и определяне на точките при комбиниране в едно заявление на няколко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Изискване на документи в нормативната уредба, даващи възможност за проверка и определяне на съответствието със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Административният контрол ще обхваща всички одобрени бизнес планове, с цел установяване нивото на изпълнение. Второто плащане ще се извършва, след проверка на изпълнението на всички инвестиции, основни дейности и постигане на целите, предвидени в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Предвижда се въвеждането на до две междинни посещения на място преди второто плащане на база анализ на риска.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съдържа най-малко следните елементи:</w:t>
            </w:r>
          </w:p>
          <w:p>
            <w:pPr>
              <w:numPr>
                <w:ilvl w:val="0"/>
                <w:numId w:val="18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Резюме на плана;</w:t>
            </w:r>
          </w:p>
          <w:p>
            <w:pPr>
              <w:numPr>
                <w:ilvl w:val="0"/>
                <w:numId w:val="1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Първоначално икономическо състояние на кандидата;</w:t>
            </w:r>
          </w:p>
          <w:p>
            <w:pPr>
              <w:numPr>
                <w:ilvl w:val="0"/>
                <w:numId w:val="1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 на пазара, въздействие върху конкурентите;</w:t>
            </w:r>
          </w:p>
          <w:p>
            <w:pPr>
              <w:numPr>
                <w:ilvl w:val="0"/>
                <w:numId w:val="1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Етапи и цели за развитие на новите дейности на кандидата;</w:t>
            </w:r>
          </w:p>
          <w:p>
            <w:pPr>
              <w:numPr>
                <w:ilvl w:val="0"/>
                <w:numId w:val="1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Прогноза на нетните парични потоци;</w:t>
            </w:r>
          </w:p>
          <w:p>
            <w:pPr>
              <w:numPr>
                <w:ilvl w:val="0"/>
                <w:numId w:val="18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описание на дейностите и инвестициите, необходими за развитие на дейностите на кандидата.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 е комбинирано кандидатстване по подмярка 6.1, 6.4 и мярка 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82"/>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18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1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1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18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бъде даден на проекти на земеделски стопани, които:</w:t>
            </w:r>
          </w:p>
          <w:p>
            <w:pPr>
              <w:numPr>
                <w:ilvl w:val="0"/>
                <w:numId w:val="18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1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1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земеделското стопанство е разположено в планински район съгласно наредбата за определяне на критериите за необлагодетелстваните райони и териториалния им обхват (приета с ПМС №30 ОТ 15.02.2008 г.; ДВ, бр. 20 от 2008 г.);</w:t>
            </w:r>
          </w:p>
          <w:p>
            <w:pPr>
              <w:numPr>
                <w:ilvl w:val="0"/>
                <w:numId w:val="18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Style w:val="DefaultParagraphFont"/>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Style w:val="DefaultParagraphFont"/>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18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186"/>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Регистрация като земеделски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Характеристика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Целите, които следва да бъдат постигнати като минимум са:</w:t>
            </w:r>
          </w:p>
          <w:p>
            <w:pPr>
              <w:numPr>
                <w:ilvl w:val="0"/>
                <w:numId w:val="18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и/или</w:t>
            </w:r>
          </w:p>
          <w:p>
            <w:pPr>
              <w:numPr>
                <w:ilvl w:val="0"/>
                <w:numId w:val="18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и/или</w:t>
            </w:r>
          </w:p>
          <w:p>
            <w:pPr>
              <w:numPr>
                <w:ilvl w:val="0"/>
                <w:numId w:val="18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18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Производствена 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операция 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90"/>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Style w:val="DefaultParagraphFont"/>
                <w:rFonts w:ascii="Times New Roman" w:eastAsia="Times New Roman" w:hAnsi="Times New Roman" w:cs="Times New Roman"/>
                <w:i/>
                <w:i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ще допринася към приоритетни области 6А и 5В.</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19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1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1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1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19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текущи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одобрената финансова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19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да се осъществява в селски район;</w:t>
            </w:r>
          </w:p>
          <w:p>
            <w:pPr>
              <w:numPr>
                <w:ilvl w:val="0"/>
                <w:numId w:val="1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да няма отрицателно влияние върху околната среда;</w:t>
            </w:r>
          </w:p>
          <w:p>
            <w:pPr>
              <w:numPr>
                <w:ilvl w:val="0"/>
                <w:numId w:val="1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1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19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19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19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1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включващи иновации;</w:t>
            </w:r>
          </w:p>
          <w:p>
            <w:pPr>
              <w:numPr>
                <w:ilvl w:val="0"/>
                <w:numId w:val="19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насърчаване на малките и средните предприятия:</w:t>
            </w:r>
          </w:p>
          <w:p>
            <w:pPr>
              <w:numPr>
                <w:ilvl w:val="0"/>
                <w:numId w:val="19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1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1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1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на тютюнопроизводители;</w:t>
            </w:r>
          </w:p>
          <w:p>
            <w:pPr>
              <w:numPr>
                <w:ilvl w:val="0"/>
                <w:numId w:val="1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19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19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производствени дейности;</w:t>
            </w:r>
          </w:p>
          <w:p>
            <w:pPr>
              <w:numPr>
                <w:ilvl w:val="0"/>
                <w:numId w:val="19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създаващи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не може да надвишава 75%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 стойност на допустимите разходи – 10 000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Резюме на плана;</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Прогноза на нетните парични потоци;</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97"/>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Приоритетни области: 2А и 3А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19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Развитие на селски туризъм</w:t>
            </w:r>
            <w:r>
              <w:rPr>
                <w:rStyle w:val="DefaultParagraphFont"/>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Style w:val="DefaultParagraphFont"/>
                <w:rFonts w:ascii="Times New Roman" w:eastAsia="Times New Roman" w:hAnsi="Times New Roman" w:cs="Times New Roman"/>
                <w:i/>
                <w:iCs/>
                <w:szCs w:val="24"/>
              </w:rPr>
              <w:t>;</w:t>
            </w:r>
          </w:p>
          <w:p>
            <w:pPr>
              <w:numPr>
                <w:ilvl w:val="0"/>
                <w:numId w:val="19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Местно занаятчийство </w:t>
            </w:r>
            <w:r>
              <w:rPr>
                <w:rStyle w:val="DefaultParagraphFont"/>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Style w:val="DefaultParagraphFont"/>
                <w:rFonts w:ascii="Times New Roman" w:eastAsia="Times New Roman" w:hAnsi="Times New Roman" w:cs="Times New Roman"/>
                <w:i/>
                <w:iCs/>
                <w:szCs w:val="24"/>
              </w:rPr>
              <w:t>;</w:t>
            </w:r>
          </w:p>
          <w:p>
            <w:pPr>
              <w:numPr>
                <w:ilvl w:val="0"/>
                <w:numId w:val="19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1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1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Style w:val="DefaultParagraphFont"/>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19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85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текущи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0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0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20% суровини от етеричномаслени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не се прилагат за отпадъчни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процеса на избор ще се дава приоритет 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представени от жени и млади фермери;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създаващи постоянна заетост;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0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0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Включване в нормативната уредба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9.1. Ясно дефиниране в нормативната уредба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Регистрация като земеделски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Характеристика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Рисковете са описани по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Дефиниция за малко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0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Определение за "</w:t>
            </w:r>
            <w:r>
              <w:rPr>
                <w:rStyle w:val="DefaultParagraphFont"/>
                <w:rFonts w:ascii="Times New Roman" w:eastAsia="Times New Roman" w:hAnsi="Times New Roman" w:cs="Times New Roman"/>
                <w:i/>
                <w:iCs/>
                <w:szCs w:val="24"/>
              </w:rPr>
              <w:t>селски район</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0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0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0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16" w:name="_Toc256000116"/>
      <w:r>
        <w:rPr>
          <w:b w:val="0"/>
        </w:rPr>
        <w:t>М07 — Основни услуги и обновяване на селата в селските райони (член 20)</w:t>
      </w:r>
      <w:bookmarkEnd w:id="11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 6</w:t>
            </w:r>
            <w:r>
              <w:rPr>
                <w:rStyle w:val="DefaultParagraphFont"/>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06"/>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0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Реконструкция и/или ремонт на общински сгради, в които се предоставят обществени услуги, с цел подобряване на тяхната енергийна ефективност;</w:t>
            </w:r>
          </w:p>
          <w:p>
            <w:pPr>
              <w:numPr>
                <w:ilvl w:val="0"/>
                <w:numId w:val="2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0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Читалища за дейности свързани с културния живот;</w:t>
            </w:r>
          </w:p>
          <w:p>
            <w:pPr>
              <w:numPr>
                <w:ilvl w:val="0"/>
                <w:numId w:val="20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свеждат до: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0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0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 от седем години от датата на кандидатстване.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1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която осигурява директна свързаност на населено място с втори и трети клас републикански пътища;</w:t>
            </w:r>
          </w:p>
          <w:p>
            <w:pPr>
              <w:numPr>
                <w:ilvl w:val="0"/>
                <w:numId w:val="21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1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1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1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1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1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1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1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Инфраструктура в Северозападен район;</w:t>
            </w:r>
          </w:p>
          <w:p>
            <w:pPr>
              <w:numPr>
                <w:ilvl w:val="0"/>
                <w:numId w:val="21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1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1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1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1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Инфраструктура в Северозападен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1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1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1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1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7.5. Инвестиции за публично ползване в инфраструктура за отдих, туристическа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20"/>
              </w:numPr>
              <w:rPr>
                <w:b w:val="0"/>
              </w:rPr>
            </w:pPr>
            <w:r>
              <w:rPr>
                <w:b w:val="0"/>
              </w:rPr>
              <w:t>7.5 — подкрепа за публично ползване в инфраструктура за отдих, туристическа информация и малка по мащаб туристическа инфраструктура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Туризмът е сред приоритетите на регионалната политика в България. На него се разчита за осезателен принос към постигане на балансирано и устойчиво развитие на българските общини и райони. Развитието на туризма в селски райони, особено в по-отдалечените периферни, крайгранични и планински общини, в които има уникални туристически ресурси следва да се обвърже с националните и европейски културни и туристически маршрути и с развитите туристически зони, за да получат шанс за адекватно експониране и популяризиране на ценностите в малките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2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закупуване на оборудване и/или обзавеждане на туристически информационни центрове;</w:t>
            </w:r>
          </w:p>
          <w:p>
            <w:pPr>
              <w:numPr>
                <w:ilvl w:val="0"/>
                <w:numId w:val="2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закупуване на оборудване и/или обзавеждане на посетителските центрове за представяне и експониране на местното природно и културно наследство;</w:t>
            </w:r>
          </w:p>
          <w:p>
            <w:pPr>
              <w:numPr>
                <w:ilvl w:val="0"/>
                <w:numId w:val="2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закупуване на оборудване и/или обзавеждане на центровете за изкуство и занаяти с туристическа цел;</w:t>
            </w:r>
          </w:p>
          <w:p>
            <w:pPr>
              <w:numPr>
                <w:ilvl w:val="0"/>
                <w:numId w:val="2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и закупуване на съоръжения за туристически атракции, които са свързани с местното природно, културно и/или историческо наследство и предоставящи услуги с познавателна или образователна цел;</w:t>
            </w:r>
          </w:p>
          <w:p>
            <w:pPr>
              <w:numPr>
                <w:ilvl w:val="0"/>
                <w:numId w:val="22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и закупуване на съоръжения за туристическа инфраструктура (информационни табели и пътепоказатели за туристическите места и маршрути, съоръжения за безопасност, велоалеи и туристически пътеки).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в съответствие с чл. 45, параграф 6 от Регламент (ЕС) № 1305/2013, Регламент (ЕС) № 1303/2013; Насоки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2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в селските райони;</w:t>
            </w:r>
          </w:p>
          <w:p>
            <w:pPr>
              <w:numPr>
                <w:ilvl w:val="0"/>
                <w:numId w:val="22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 нестопанска цел.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свеждат до: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Следните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2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2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предвидените дейности да се изпълняват в съответствие с програмата за развитие на туризма на територията на общината;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дейността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не са обявени за недвижима културна ценност от национално и световно значение; да са придружени с анализ на икономическите и социалните ползи в който е доказано, че инвестицията ще доведат до социално–икономическо развитие на селският район; да съдържат аргументация за устойчивостта на инвестицията.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по подмярката дейности свързани с опазването, популяризирането и развитието на културното наследство на обекти от национално и световно 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подпомагат дейности за изграждане, реконструкция, ремонт и закупуване на съоръжения за туристически атракции и на съоръжения за туристическа инфраструктура в рамките на териториите, подпомагани от ОПРР.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подмярката за един кандидат не може да надхвърля левовата равностойност на 200 000 евро за един обект и 1 000 000 за периода на прилагане на ПРСР.</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критериите за подбор приоритет ще бъде даван на:</w:t>
            </w:r>
          </w:p>
          <w:p>
            <w:pPr>
              <w:numPr>
                <w:ilvl w:val="0"/>
                <w:numId w:val="22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в населените места, където ще се извършват допустимите дейности;</w:t>
            </w:r>
          </w:p>
          <w:p>
            <w:pPr>
              <w:numPr>
                <w:ilvl w:val="0"/>
                <w:numId w:val="22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на територията на Северозападен район;</w:t>
            </w:r>
          </w:p>
          <w:p>
            <w:pPr>
              <w:numPr>
                <w:ilvl w:val="0"/>
                <w:numId w:val="22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създаващи работни места при изпълнение на допустимите дейности;</w:t>
            </w:r>
          </w:p>
          <w:p>
            <w:pPr>
              <w:numPr>
                <w:ilvl w:val="0"/>
                <w:numId w:val="22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осигуряващи подобряване на околната среда и постигащи екологичен ефект и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бенефициенти общини и ЮЛНЦ,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2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2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27"/>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свеждат до: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Подобренията на недвижимо имущество;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критериите за подбор приоритет ще бъде даван на:</w:t>
            </w:r>
          </w:p>
          <w:p>
            <w:pPr>
              <w:numPr>
                <w:ilvl w:val="0"/>
                <w:numId w:val="22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допустимите дейности;</w:t>
            </w:r>
          </w:p>
          <w:p>
            <w:pPr>
              <w:numPr>
                <w:ilvl w:val="0"/>
                <w:numId w:val="22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2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2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2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3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3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Ранното предоставяне на авансови плащания;</w:t>
            </w:r>
          </w:p>
          <w:p>
            <w:pPr>
              <w:numPr>
                <w:ilvl w:val="0"/>
                <w:numId w:val="23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3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3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3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3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3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17" w:name="_Toc256000117"/>
      <w:r>
        <w:rPr>
          <w:b w:val="0"/>
        </w:rPr>
        <w:t>М08 — Инвестиции в развитие на горските райони и подобряване на жизнеспособността на горите (членове 21 — 26)</w:t>
      </w:r>
      <w:bookmarkEnd w:id="11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34"/>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3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земеделски и неземеделски земи;</w:t>
            </w:r>
          </w:p>
          <w:p>
            <w:pPr>
              <w:numPr>
                <w:ilvl w:val="0"/>
                <w:numId w:val="23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собственици/стопанисващи земеделски и неземеделски земи;</w:t>
            </w:r>
          </w:p>
          <w:p>
            <w:pPr>
              <w:numPr>
                <w:ilvl w:val="0"/>
                <w:numId w:val="23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 частноправни субекти, стопанисващи земеделски и неземеделски земи, в т.ч. и Държавни предприятия по чл. 163 от Закона за горите, управляващи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3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 инвестиции:</w:t>
            </w:r>
          </w:p>
          <w:p>
            <w:pPr>
              <w:numPr>
                <w:ilvl w:val="0"/>
                <w:numId w:val="237"/>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Почвоподготовка;</w:t>
            </w:r>
          </w:p>
          <w:p>
            <w:pPr>
              <w:numPr>
                <w:ilvl w:val="0"/>
                <w:numId w:val="23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залесителен материал;</w:t>
            </w:r>
          </w:p>
          <w:p>
            <w:pPr>
              <w:numPr>
                <w:ilvl w:val="0"/>
                <w:numId w:val="23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Транспорт и временно съхранение на залесителния материал;</w:t>
            </w:r>
          </w:p>
          <w:p>
            <w:pPr>
              <w:numPr>
                <w:ilvl w:val="0"/>
                <w:numId w:val="23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труд при залесяване;</w:t>
            </w:r>
          </w:p>
          <w:p>
            <w:pPr>
              <w:numPr>
                <w:ilvl w:val="0"/>
                <w:numId w:val="23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3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Ограждане на залесената територия (където това е необходимо);</w:t>
            </w:r>
          </w:p>
          <w:p>
            <w:pPr>
              <w:numPr>
                <w:ilvl w:val="0"/>
                <w:numId w:val="23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 (презасяване или презасаждане);</w:t>
            </w:r>
          </w:p>
          <w:p>
            <w:pPr>
              <w:numPr>
                <w:ilvl w:val="0"/>
                <w:numId w:val="23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3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37"/>
              </w:numPr>
              <w:spacing w:before="0" w:after="0"/>
              <w:ind w:left="720" w:hanging="4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37"/>
              </w:numPr>
              <w:spacing w:before="0" w:after="240"/>
              <w:ind w:left="720" w:hanging="4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3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Нематериални инвестиции:</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3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кандидати трябва да докажат собственост на земята, която ще залесяват или правото си да я стопанисват.</w:t>
            </w:r>
          </w:p>
          <w:p>
            <w:pPr>
              <w:numPr>
                <w:ilvl w:val="0"/>
                <w:numId w:val="24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4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за залесяване трябва да бъде както следва:</w:t>
            </w:r>
          </w:p>
          <w:p>
            <w:pPr>
              <w:numPr>
                <w:ilvl w:val="0"/>
                <w:numId w:val="24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физически и юридически лица и местни поделения на вероизповеданията, собственици на земеделски и неземеделски земи – 0.5 ха;</w:t>
            </w:r>
          </w:p>
          <w:p>
            <w:pPr>
              <w:numPr>
                <w:ilvl w:val="0"/>
                <w:numId w:val="24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общини, собственици/стопанисващи земеделски и неземеделски земи – 1.0 ха;</w:t>
            </w:r>
          </w:p>
          <w:p>
            <w:pPr>
              <w:numPr>
                <w:ilvl w:val="0"/>
                <w:numId w:val="24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юридически лица - частноправни субекти, стопанисващи земеделски и неземеделски земи – 1.0 ха.</w:t>
            </w:r>
          </w:p>
          <w:p>
            <w:pPr>
              <w:numPr>
                <w:ilvl w:val="0"/>
                <w:numId w:val="24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4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4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4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4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4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4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4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 се допуска подпомагане:</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4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75%.</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разпокъсаността и малкият размер на имотите;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и храните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Информация за спецификата на работата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Ограждане на културите се прилага при необходимост.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3" name=""/>
                  <wp:cNvGraphicFramePr/>
                  <a:graphic xmlns:a="http://schemas.openxmlformats.org/drawingml/2006/main">
                    <a:graphicData uri="http://schemas.openxmlformats.org/drawingml/2006/picture">
                      <pic:pic xmlns:pic="http://schemas.openxmlformats.org/drawingml/2006/picture">
                        <pic:nvPicPr>
                          <pic:cNvPr id="2036352002" name=""/>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Методите за залесяване трябва да включват: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нелесопригодни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земеделски земи с висока природна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46"/>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защита при бедствия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министерство на вътрешните работи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4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собственици/стопанисващи горски територии;</w:t>
            </w:r>
          </w:p>
          <w:p>
            <w:pPr>
              <w:numPr>
                <w:ilvl w:val="0"/>
                <w:numId w:val="24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стопанисващи горски територии;</w:t>
            </w:r>
          </w:p>
          <w:p>
            <w:pPr>
              <w:numPr>
                <w:ilvl w:val="0"/>
                <w:numId w:val="24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4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Лесозащитни станции;</w:t>
            </w:r>
          </w:p>
          <w:p>
            <w:pPr>
              <w:numPr>
                <w:ilvl w:val="0"/>
                <w:numId w:val="24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4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 инвестиции:</w:t>
            </w:r>
          </w:p>
          <w:p>
            <w:pPr>
              <w:numPr>
                <w:ilvl w:val="0"/>
                <w:numId w:val="249"/>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изграждане/подобряване на водоизточници за борба с пожарите;</w:t>
            </w:r>
          </w:p>
          <w:p>
            <w:pPr>
              <w:numPr>
                <w:ilvl w:val="0"/>
                <w:numId w:val="2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4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 подобряване на горски пътища;</w:t>
            </w:r>
          </w:p>
          <w:p>
            <w:pPr>
              <w:numPr>
                <w:ilvl w:val="0"/>
                <w:numId w:val="249"/>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5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Нематериални инвестиции:</w:t>
            </w:r>
          </w:p>
          <w:p>
            <w:pPr>
              <w:numPr>
                <w:ilvl w:val="0"/>
                <w:numId w:val="251"/>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5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5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софтуер;</w:t>
            </w:r>
          </w:p>
          <w:p>
            <w:pPr>
              <w:numPr>
                <w:ilvl w:val="0"/>
                <w:numId w:val="25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5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5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5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5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5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5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5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5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един ползвател, предоставена по реда на тази наредба, не може да надхвърля левовата равностойност на  1 500 000 евро за периода на действие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Прилагане на правилата за обществени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4" name=""/>
                  <wp:cNvGraphicFramePr/>
                  <a:graphic xmlns:a="http://schemas.openxmlformats.org/drawingml/2006/main">
                    <a:graphicData uri="http://schemas.openxmlformats.org/drawingml/2006/picture">
                      <pic:pic xmlns:pic="http://schemas.openxmlformats.org/drawingml/2006/picture">
                        <pic:nvPicPr>
                          <pic:cNvPr id="1347059069" name=""/>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05" name=""/>
                  <wp:cNvGraphicFramePr/>
                  <a:graphic xmlns:a="http://schemas.openxmlformats.org/drawingml/2006/main">
                    <a:graphicData uri="http://schemas.openxmlformats.org/drawingml/2006/picture">
                      <pic:pic xmlns:pic="http://schemas.openxmlformats.org/drawingml/2006/picture">
                        <pic:nvPicPr>
                          <pic:cNvPr id="1335336301" name=""/>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67275" cy="4419600"/>
                  <wp:docPr id="100006" name=""/>
                  <wp:cNvGraphicFramePr/>
                  <a:graphic xmlns:a="http://schemas.openxmlformats.org/drawingml/2006/main">
                    <a:graphicData uri="http://schemas.openxmlformats.org/drawingml/2006/picture">
                      <pic:pic xmlns:pic="http://schemas.openxmlformats.org/drawingml/2006/picture">
                        <pic:nvPicPr>
                          <pic:cNvPr id="1059193891" name=""/>
                          <pic:cNvPicPr/>
                        </pic:nvPicPr>
                        <pic:blipFill>
                          <a:blip xmlns:r="http://schemas.openxmlformats.org/officeDocument/2006/relationships" r:embed="rId16"/>
                          <a:stretch>
                            <a:fillRect/>
                          </a:stretch>
                        </pic:blipFill>
                        <pic:spPr>
                          <a:xfrm>
                            <a:off x="0" y="0"/>
                            <a:ext cx="4867275" cy="4419600"/>
                          </a:xfrm>
                          <a:prstGeom prst="rect">
                            <a:avLst/>
                          </a:prstGeom>
                        </pic:spPr>
                      </pic:pic>
                    </a:graphicData>
                  </a:graphic>
                </wp:inline>
              </w:drawing>
            </w:r>
          </w:p>
          <w:p>
            <w:pPr>
              <w:pStyle w:val="Footer"/>
              <w:jc w:val="center"/>
              <w:rPr>
                <w:b w:val="0"/>
              </w:rPr>
            </w:pPr>
            <w:r>
              <w:rPr>
                <w:b w:val="0"/>
              </w:rPr>
              <w:t>Figure 3.1</w:t>
            </w:r>
          </w:p>
          <w:p>
            <w:pPr>
              <w:pStyle w:val="Footer"/>
              <w:jc w:val="center"/>
              <w:rPr>
                <w:b w:val="0"/>
              </w:rPr>
            </w:pPr>
            <w:r>
              <w:rPr>
                <w:b w:val="0"/>
              </w:rPr>
              <w:drawing>
                <wp:inline>
                  <wp:extent cx="4762500" cy="6143625"/>
                  <wp:docPr id="100007" name=""/>
                  <wp:cNvGraphicFramePr/>
                  <a:graphic xmlns:a="http://schemas.openxmlformats.org/drawingml/2006/main">
                    <a:graphicData uri="http://schemas.openxmlformats.org/drawingml/2006/picture">
                      <pic:pic xmlns:pic="http://schemas.openxmlformats.org/drawingml/2006/picture">
                        <pic:nvPicPr>
                          <pic:cNvPr id="2052911425" name=""/>
                          <pic:cNvPicPr/>
                        </pic:nvPicPr>
                        <pic:blipFill>
                          <a:blip xmlns:r="http://schemas.openxmlformats.org/officeDocument/2006/relationships" r:embed="rId17"/>
                          <a:stretch>
                            <a:fillRect/>
                          </a:stretch>
                        </pic:blipFill>
                        <pic:spPr>
                          <a:xfrm>
                            <a:off x="0" y="0"/>
                            <a:ext cx="4762500" cy="6143625"/>
                          </a:xfrm>
                          <a:prstGeom prst="rect">
                            <a:avLst/>
                          </a:prstGeom>
                        </pic:spPr>
                      </pic:pic>
                    </a:graphicData>
                  </a:graphic>
                </wp:inline>
              </w:drawing>
            </w:r>
          </w:p>
          <w:p>
            <w:pPr>
              <w:pStyle w:val="Footer"/>
              <w:jc w:val="center"/>
              <w:rPr>
                <w:b w:val="0"/>
              </w:rPr>
            </w:pPr>
            <w:r>
              <w:rPr>
                <w:b w:val="0"/>
              </w:rPr>
              <w:t>Figure 3.2</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57"/>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5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собственици/стопанисващи горски територии;</w:t>
            </w:r>
          </w:p>
          <w:p>
            <w:pPr>
              <w:numPr>
                <w:ilvl w:val="0"/>
                <w:numId w:val="25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стопанисващи горски територии;</w:t>
            </w:r>
          </w:p>
          <w:p>
            <w:pPr>
              <w:numPr>
                <w:ilvl w:val="0"/>
                <w:numId w:val="25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5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 инвестиции:</w:t>
            </w:r>
          </w:p>
          <w:p>
            <w:pPr>
              <w:numPr>
                <w:ilvl w:val="0"/>
                <w:numId w:val="260"/>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6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Презалесяване на пострадалите гори;</w:t>
            </w:r>
          </w:p>
          <w:p>
            <w:pPr>
              <w:numPr>
                <w:ilvl w:val="0"/>
                <w:numId w:val="26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6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60"/>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 на горски култури.</w:t>
            </w:r>
          </w:p>
          <w:p>
            <w:pPr>
              <w:numPr>
                <w:ilvl w:val="0"/>
                <w:numId w:val="26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Нематериални инвестиции:</w:t>
            </w:r>
          </w:p>
          <w:p>
            <w:pPr>
              <w:numPr>
                <w:ilvl w:val="0"/>
                <w:numId w:val="262"/>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6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6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6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6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6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 на горски култури ще бъде допустимо само ако:</w:t>
            </w:r>
          </w:p>
          <w:p>
            <w:pPr>
              <w:numPr>
                <w:ilvl w:val="0"/>
                <w:numId w:val="26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2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26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26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w:t>
            </w:r>
          </w:p>
          <w:p>
            <w:pPr>
              <w:numPr>
                <w:ilvl w:val="0"/>
                <w:numId w:val="26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2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2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2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2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26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Прилагане на правилата за обществени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1.Болести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а.Трахеомикоза по дъба - Ceratocystis sp.</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б.Рак по цера - Hipoxylon mediterraneum (De Not.) Mill.</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Холандска болест по бряста - Ceratocystis ulmi (Buism)</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Мастилена болест по кестена - Phytophthora sp.</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Съхнене на иглолистни видове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Неприятели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Гъботворка - Lymantria dispar (Linnaeus, 1759)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Златозадка - Euproctis chrisorrhoea - (Linnaeus, 1758)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Корояди - Curculionidae</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Борова процесионка -Thaumatocampa pityocampa (Denis&amp;Schiffermüller,  1775)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Ръждива борова листна оса- Neodiprion sertifer (Geoffroy, 1785)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8.5. Инвестиции, подобряващи устойчивостта и екологичната стойност на горските екосистеми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69"/>
              </w:numPr>
              <w:rPr>
                <w:b w:val="0"/>
              </w:rPr>
            </w:pPr>
            <w:r>
              <w:rPr>
                <w:b w:val="0"/>
              </w:rPr>
              <w:t>8.5 — подпомагане за инвестиции за подобряване на устойчивостта и екологичната стойност на горските екосистеми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настоящата подмярка включва смекчаване на последиците от и адаптиране към изменението на климата, предоставяне на услугите, предлагани от екосистемите и увеличаване привлекателността на гората или залесената площ за отдих и почивка.  Насочено е  към превръщането на издънковите гори в семенни и превръщане на иглолистните култури на нетипични месторастения в естествени насаждения.  Тези дейности ще допринесат до устойчивост, дълговечност и подобряване на всички екологични покзатели на гората, както и нейната привлекателност.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Изменението на климата и горското стопанство са неразривно свързани. От една страна, промените в глобалния климат вече стресират горите чрез по-високи средни годишни температури, променена структурата на валежите, и по-честите и екстремни метеорологични явления. В същото време, горите имат множество защитни функции. Те осигуряват защита срещу ерозията на почвата и опустиняването, помагат за регулиране на хидроложкия цикъл и техните екосистеми са важен източник на биологично разнообразие.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предпазят земеделските земи от ерозия и получаване на влагозадържащ ефект преди повече от 70 години са създадени полезащитните пояси в Северна България. Изградени са върху земеделски земи, но с течение на времето и тъй като са отговаряли на определението за гора, са били присъединени към държавния горски фонд и е започнало стопанисването им като гора. В този смисъл, възстановяването и поддържането на полезащитните пояси освен типичния за горите ефект ще имат осезаем ефект и върху съседните им земеделски земи, като ги защитават от ерозия, осигуряват по-добър воден баланс, а по този начин се постигат и по-високи и по-качествени добиви.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Целта на мярката е подпомаганена непроизводствени горски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нормативни актове.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7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7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собственици/стопанисващи горски територии;</w:t>
            </w:r>
          </w:p>
          <w:p>
            <w:pPr>
              <w:numPr>
                <w:ilvl w:val="0"/>
                <w:numId w:val="27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стопанисващи горски територии;</w:t>
            </w:r>
          </w:p>
          <w:p>
            <w:pPr>
              <w:numPr>
                <w:ilvl w:val="0"/>
                <w:numId w:val="27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7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Материални инвестиции:</w:t>
            </w:r>
          </w:p>
          <w:p>
            <w:pPr>
              <w:numPr>
                <w:ilvl w:val="0"/>
                <w:numId w:val="272"/>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увеличаване на привлекателността на гората и залесената площ за отдих и почивка в съответния район, в т.ч.:</w:t>
            </w:r>
          </w:p>
          <w:p>
            <w:pPr>
              <w:numPr>
                <w:ilvl w:val="0"/>
                <w:numId w:val="27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дребномащабна туристическа инфраструктура - пешеходни пътеки,  съоръжения за отдих, указателни табели, информационни табла, заслони и наблюдателни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2.Разходи за подобряване на потенциала на екосистемите за смекчаване на последиците от изменението на климата, без да се изключват икономическите ползи в дългосрочен план, в т.ч.:</w:t>
            </w:r>
          </w:p>
          <w:p>
            <w:pPr>
              <w:numPr>
                <w:ilvl w:val="0"/>
                <w:numId w:val="27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превръщане на издънкови гори в смесени високостъблени гори;</w:t>
            </w:r>
          </w:p>
          <w:p>
            <w:pPr>
              <w:numPr>
                <w:ilvl w:val="0"/>
                <w:numId w:val="2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превръщане на изкуствени гори в смесени високостъблени гори за увеличаване на превръщане на иглолистните култури на нетипични месторастения в естествени насаждения;</w:t>
            </w:r>
          </w:p>
          <w:p>
            <w:pPr>
              <w:numPr>
                <w:ilvl w:val="0"/>
                <w:numId w:val="2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и поддръжка на полезащитни пояси;</w:t>
            </w:r>
          </w:p>
          <w:p>
            <w:pPr>
              <w:numPr>
                <w:ilvl w:val="0"/>
                <w:numId w:val="27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презалесяване. </w:t>
            </w:r>
          </w:p>
          <w:p>
            <w:pPr>
              <w:numPr>
                <w:ilvl w:val="0"/>
                <w:numId w:val="275"/>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7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Нематериални инвестиции:</w:t>
            </w:r>
          </w:p>
          <w:p>
            <w:pPr>
              <w:numPr>
                <w:ilvl w:val="0"/>
                <w:numId w:val="277"/>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7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7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софтуер;</w:t>
            </w:r>
          </w:p>
          <w:p>
            <w:pPr>
              <w:numPr>
                <w:ilvl w:val="0"/>
                <w:numId w:val="27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въвеждане на добри производствени практики, системи за управление на качеството и подготовка за сертификация в предприятията;</w:t>
            </w:r>
          </w:p>
          <w:p>
            <w:pPr>
              <w:numPr>
                <w:ilvl w:val="0"/>
                <w:numId w:val="277"/>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изработване на планове за управление на горите или на равностоен инструмент.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7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кандидати трябва да докажат собственост върху горската територия или правото си да я стопанисват;</w:t>
            </w:r>
          </w:p>
          <w:p>
            <w:pPr>
              <w:numPr>
                <w:ilvl w:val="0"/>
                <w:numId w:val="27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на горската територия, с която кандидатстват за подпомагане, трябва да бъде както следва:</w:t>
            </w:r>
          </w:p>
          <w:p>
            <w:pPr>
              <w:numPr>
                <w:ilvl w:val="0"/>
                <w:numId w:val="28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0.5 ха за физически и юридически лица и местни поделения на вероизповеданията, собственици на горски територии;</w:t>
            </w:r>
          </w:p>
          <w:p>
            <w:pPr>
              <w:numPr>
                <w:ilvl w:val="0"/>
                <w:numId w:val="2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ха за общини, собственици/стопанисващи горски територии;</w:t>
            </w:r>
          </w:p>
          <w:p>
            <w:pPr>
              <w:numPr>
                <w:ilvl w:val="0"/>
                <w:numId w:val="2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ха за юридически лица, стопанисващи държавни горски територии;</w:t>
            </w:r>
          </w:p>
          <w:p>
            <w:pPr>
              <w:numPr>
                <w:ilvl w:val="0"/>
                <w:numId w:val="28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ха за юридически лица, наематели на горски територии.</w:t>
            </w:r>
          </w:p>
          <w:p>
            <w:pPr>
              <w:numPr>
                <w:ilvl w:val="0"/>
                <w:numId w:val="28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дребномащабна туристическа инфраструктура</w:t>
            </w:r>
          </w:p>
          <w:p>
            <w:pPr>
              <w:numPr>
                <w:ilvl w:val="0"/>
                <w:numId w:val="2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бъде допустимо само за еднократни за периода на действие на Програмата дейности в горите;</w:t>
            </w:r>
          </w:p>
          <w:p>
            <w:pPr>
              <w:numPr>
                <w:ilvl w:val="0"/>
                <w:numId w:val="2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28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 разходи, разходи за поддръжка и годишни плащания не са допустими за подпомагане.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28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8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монокултури;</w:t>
            </w:r>
          </w:p>
          <w:p>
            <w:pPr>
              <w:numPr>
                <w:ilvl w:val="0"/>
                <w:numId w:val="28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състояние на полезащитните пояси, като приоритет ще се дава на тези в лошо и задоволително състояние.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2 500 000 евро на кандидат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Минимумът на общите допустими разходи е левовата равностойност на 2 000 евро на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Прилагане на правилата за обществени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85"/>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 на горски територии;</w:t>
            </w:r>
          </w:p>
          <w:p>
            <w:pPr>
              <w:numPr>
                <w:ilvl w:val="0"/>
                <w:numId w:val="2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2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МСП;</w:t>
            </w:r>
          </w:p>
          <w:p>
            <w:pPr>
              <w:numPr>
                <w:ilvl w:val="0"/>
                <w:numId w:val="28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Материални инвестиции:</w:t>
            </w:r>
          </w:p>
          <w:p>
            <w:pPr>
              <w:numPr>
                <w:ilvl w:val="0"/>
                <w:numId w:val="288"/>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28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Нематериални инвестиции:</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3.Закупуване на софтуер;</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9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2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2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2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2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2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2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2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2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29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29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2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29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NACE Rev. 1.1: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93"/>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29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29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Сушене и импрегниране на дървен материал;</w:t>
            </w:r>
          </w:p>
          <w:p>
            <w:pPr>
              <w:numPr>
                <w:ilvl w:val="0"/>
                <w:numId w:val="29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29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293"/>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Недопустими разходи </w:t>
            </w:r>
            <w:r>
              <w:rPr>
                <w:rStyle w:val="DefaultParagraphFont"/>
                <w:rFonts w:ascii="Times New Roman" w:eastAsia="Times New Roman" w:hAnsi="Times New Roman" w:cs="Times New Roman"/>
                <w:b/>
                <w:bCs/>
                <w:szCs w:val="24"/>
              </w:rPr>
              <w:t>са:</w:t>
            </w:r>
          </w:p>
          <w:p>
            <w:pPr>
              <w:numPr>
                <w:ilvl w:val="0"/>
                <w:numId w:val="29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обикновена подмяна и поддръжка;</w:t>
            </w:r>
          </w:p>
          <w:p>
            <w:pPr>
              <w:numPr>
                <w:ilvl w:val="0"/>
                <w:numId w:val="2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2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2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оборудване втора ръка;</w:t>
            </w:r>
          </w:p>
          <w:p>
            <w:pPr>
              <w:numPr>
                <w:ilvl w:val="0"/>
                <w:numId w:val="2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в натура;</w:t>
            </w:r>
          </w:p>
          <w:p>
            <w:pPr>
              <w:numPr>
                <w:ilvl w:val="0"/>
                <w:numId w:val="2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29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18" w:name="_Toc256000118"/>
      <w:r>
        <w:rPr>
          <w:b w:val="0"/>
        </w:rPr>
        <w:t>M09 — Създаване на групи и организации на производителите (член 27)</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Принос на мярката към междусекторните цели и приоритетни области</w:t>
            </w:r>
            <w:r>
              <w:rPr>
                <w:rStyle w:val="DefaultParagraphFont"/>
                <w:rFonts w:ascii="Times New Roman" w:eastAsia="Times New Roman" w:hAnsi="Times New Roman" w:cs="Times New Roman"/>
                <w:szCs w:val="24"/>
              </w:rPr>
              <w:t>3A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Изменение на климата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Опазване на околната среда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Целите на мярката 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29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2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2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29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29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2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2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групата да има минимум четири членове;</w:t>
            </w:r>
          </w:p>
          <w:p>
            <w:pPr>
              <w:numPr>
                <w:ilvl w:val="0"/>
                <w:numId w:val="2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организацията да има минимум шест члена;</w:t>
            </w:r>
          </w:p>
          <w:p>
            <w:pPr>
              <w:numPr>
                <w:ilvl w:val="0"/>
                <w:numId w:val="2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2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2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2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2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2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2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2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2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има разработен бизнес план за период от 5 години;</w:t>
            </w:r>
          </w:p>
          <w:p>
            <w:pPr>
              <w:numPr>
                <w:ilvl w:val="0"/>
                <w:numId w:val="29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изработи учредителен акт</w:t>
            </w: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Допустими сектори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Зърнено-житни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Медицински и етерично-маслени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Зърнено-бобови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Технически култури, с изключение на тютюн;</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Картофи;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Мляко;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Месо;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Мед;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Биологично произведени продукти;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Винено грозде;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Яйца;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Плодове;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Зеленчуци.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включва поне: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резюме на плана;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29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в сектор „Животновъдство”</w:t>
            </w:r>
          </w:p>
          <w:p>
            <w:pPr>
              <w:numPr>
                <w:ilvl w:val="0"/>
                <w:numId w:val="2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в сектор „Плодове и зеленчуци”</w:t>
            </w:r>
          </w:p>
          <w:p>
            <w:pPr>
              <w:numPr>
                <w:ilvl w:val="0"/>
                <w:numId w:val="2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2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29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9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одобряване на необосновано високи разходи;</w:t>
            </w:r>
          </w:p>
          <w:p>
            <w:pPr>
              <w:numPr>
                <w:ilvl w:val="0"/>
                <w:numId w:val="29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29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29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298"/>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99"/>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0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0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и храните в съответствие с приложимите национални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Групите производители подават в Министерство на земеделието и храните заявления за признаване.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и храните,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одобряване на необосновано високи разходи;</w:t>
            </w:r>
          </w:p>
          <w:p>
            <w:pPr>
              <w:numPr>
                <w:ilvl w:val="0"/>
                <w:numId w:val="30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0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0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0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0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0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и храните в съответствие с приложимите национални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Групите производители подават в Министерство на земеделието и храните заявления за признаване.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и храните,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Първи стълб на ОСП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Преходни договорености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19" w:name="_Toc256000119"/>
      <w:r>
        <w:rPr>
          <w:b w:val="0"/>
        </w:rPr>
        <w:t>M10 — Агроекология и климат (член 28)</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цели на мярката са следните:</w:t>
            </w:r>
          </w:p>
          <w:p>
            <w:pPr>
              <w:numPr>
                <w:ilvl w:val="0"/>
                <w:numId w:val="30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0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0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0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почвеното плодородие.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0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0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0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Изисквания за поддържане чрез паша:</w:t>
            </w:r>
          </w:p>
          <w:p>
            <w:pPr>
              <w:numPr>
                <w:ilvl w:val="0"/>
                <w:numId w:val="30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0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0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Изисквания за поддържане чрез косене:</w:t>
            </w:r>
          </w:p>
          <w:p>
            <w:pPr>
              <w:numPr>
                <w:ilvl w:val="0"/>
                <w:numId w:val="31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Забранява се изграждането на нови отводнителни системи.</w:t>
            </w:r>
          </w:p>
          <w:p>
            <w:pPr>
              <w:numPr>
                <w:ilvl w:val="0"/>
                <w:numId w:val="3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1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за участие в мярката е 0,5 ха.</w:t>
            </w:r>
          </w:p>
          <w:p>
            <w:pPr>
              <w:numPr>
                <w:ilvl w:val="0"/>
                <w:numId w:val="3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1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1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numPr>
                <w:ilvl w:val="0"/>
                <w:numId w:val="31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поддържане на постояннозатревени площи с ВПС чрез паша -126,80 Евро/ха</w:t>
            </w:r>
          </w:p>
          <w:p>
            <w:pPr>
              <w:numPr>
                <w:ilvl w:val="0"/>
                <w:numId w:val="31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поддържане на постоянно затревени площи с ВПС чрез косене – 113,51 Евро/ха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поддържане чрез паша: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поддържане с косене: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1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1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1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1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1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1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1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1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1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1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2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2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2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2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за участие в мярката е 0,3 ха.</w:t>
            </w:r>
          </w:p>
          <w:p>
            <w:pPr>
              <w:numPr>
                <w:ilvl w:val="0"/>
                <w:numId w:val="3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2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2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w:t>
            </w:r>
          </w:p>
          <w:p>
            <w:pPr>
              <w:numPr>
                <w:ilvl w:val="0"/>
                <w:numId w:val="3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2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Направление „</w:t>
            </w:r>
            <w:r>
              <w:rPr>
                <w:rStyle w:val="DefaultParagraphFont"/>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Style w:val="DefaultParagraphFont"/>
                <w:rFonts w:ascii="Times New Roman" w:eastAsia="Times New Roman" w:hAnsi="Times New Roman" w:cs="Times New Roman"/>
                <w:b/>
                <w:bCs/>
                <w:szCs w:val="24"/>
              </w:rPr>
              <w:t>”</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управление 2.1</w:t>
            </w:r>
            <w:r>
              <w:rPr>
                <w:rStyle w:val="DefaultParagraphFont"/>
                <w:rFonts w:ascii="Times New Roman" w:eastAsia="Times New Roman" w:hAnsi="Times New Roman" w:cs="Times New Roman"/>
                <w:b/>
                <w:bCs/>
                <w:szCs w:val="24"/>
              </w:rPr>
              <w:t>.</w:t>
            </w:r>
            <w:r>
              <w:rPr>
                <w:rStyle w:val="DefaultParagraphFont"/>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управления 2.3. Забрани за НАТУРА зона за птиците</w:t>
            </w:r>
            <w:r>
              <w:rPr>
                <w:rStyle w:val="DefaultParagraphFont"/>
                <w:rFonts w:ascii="Times New Roman" w:eastAsia="Times New Roman" w:hAnsi="Times New Roman" w:cs="Times New Roman"/>
                <w:b/>
                <w:bCs/>
                <w:szCs w:val="24"/>
              </w:rPr>
              <w:t>:</w:t>
            </w:r>
            <w:r>
              <w:rPr>
                <w:rStyle w:val="DefaultParagraphFont"/>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управление 2.1</w:t>
            </w:r>
            <w:r>
              <w:rPr>
                <w:rStyle w:val="DefaultParagraphFont"/>
                <w:rFonts w:ascii="Times New Roman" w:eastAsia="Times New Roman" w:hAnsi="Times New Roman" w:cs="Times New Roman"/>
                <w:b/>
                <w:bCs/>
                <w:szCs w:val="24"/>
              </w:rPr>
              <w:t>.</w:t>
            </w:r>
            <w:r>
              <w:rPr>
                <w:rStyle w:val="DefaultParagraphFont"/>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2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могат да изберат да прилагат една от следните дейности:</w:t>
            </w:r>
          </w:p>
          <w:p>
            <w:pPr>
              <w:numPr>
                <w:ilvl w:val="0"/>
                <w:numId w:val="32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Превръщане на обработваеми земеделски земи в постоянно затревени площи, чрез използване на многогодишни тревни смески.</w:t>
            </w:r>
          </w:p>
          <w:p>
            <w:pPr>
              <w:numPr>
                <w:ilvl w:val="0"/>
                <w:numId w:val="32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Противоерозионни мероприятия в лозя и трайни насаждения:</w:t>
            </w:r>
          </w:p>
          <w:p>
            <w:pPr>
              <w:numPr>
                <w:ilvl w:val="0"/>
                <w:numId w:val="330"/>
              </w:numPr>
              <w:spacing w:before="240" w:after="0"/>
              <w:ind w:left="720" w:hanging="2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затревяване на междуредията на лозята и трайните насаждения;</w:t>
            </w:r>
          </w:p>
          <w:p>
            <w:pPr>
              <w:numPr>
                <w:ilvl w:val="0"/>
                <w:numId w:val="330"/>
              </w:numPr>
              <w:spacing w:before="0" w:after="240"/>
              <w:ind w:left="720" w:hanging="2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прокарване и поддържане на  оттокоотвеждащи бразди напречно на склона.</w:t>
            </w:r>
          </w:p>
          <w:p>
            <w:pPr>
              <w:numPr>
                <w:ilvl w:val="0"/>
                <w:numId w:val="33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Противоерозионни мероприятие в обработваеми земи:</w:t>
            </w:r>
          </w:p>
          <w:p>
            <w:pPr>
              <w:numPr>
                <w:ilvl w:val="0"/>
                <w:numId w:val="332"/>
              </w:numPr>
              <w:spacing w:before="240" w:after="0"/>
              <w:ind w:left="720" w:hanging="2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 поддържане на буферни ивици – ширината на ивиците е от  4 до 8м. Прокарват се  напречно на склона на разстояние 20-80 м в зависимост от наклона на терена, почвения тип и други фактори.  В зависимост от разстоянието между тях и ширината им те заемат от 10-30% от обработваемата площ;</w:t>
            </w:r>
          </w:p>
          <w:p>
            <w:pPr>
              <w:numPr>
                <w:ilvl w:val="0"/>
                <w:numId w:val="332"/>
              </w:numPr>
              <w:spacing w:before="0" w:after="240"/>
              <w:ind w:left="720" w:hanging="2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поясно редуване на културите - поясите, широки 30-100 м, с редуващи се окопни и слятопокровни култури, се  разполагат перпендикулярно (напречно) на склона (по контура).</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3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за участие в мярката е 0,5 ха.</w:t>
            </w:r>
          </w:p>
          <w:p>
            <w:pPr>
              <w:numPr>
                <w:ilvl w:val="0"/>
                <w:numId w:val="33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 дейността, трябва да предостави план за противоерозионни дейности, изготвен от дипломиран агроном.</w:t>
            </w:r>
          </w:p>
          <w:p>
            <w:pPr>
              <w:numPr>
                <w:ilvl w:val="0"/>
                <w:numId w:val="33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3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превръщане на обработваеми земеделски земи в постоянно затревени площи – 315 евро/ха;</w:t>
            </w:r>
          </w:p>
          <w:p>
            <w:pPr>
              <w:numPr>
                <w:ilvl w:val="0"/>
                <w:numId w:val="33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затревяване на междуредията на лозята и трайните насаждения 156 евро/ха;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изграждане и поддържане на  оттокоотвеждащи бразди напречно на склона – 142  евро/ха;</w:t>
            </w:r>
          </w:p>
          <w:p>
            <w:pPr>
              <w:numPr>
                <w:ilvl w:val="0"/>
                <w:numId w:val="33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Противоерозионни мероприятие в обработваеми земи: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създаване и поддържане на буферни ивици- 40 евро/ха;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поясно редуване на културите – 38,2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измерване на площите.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38"/>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w:t>
            </w:r>
          </w:p>
          <w:p>
            <w:pPr>
              <w:numPr>
                <w:ilvl w:val="0"/>
                <w:numId w:val="3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паркове.</w:t>
            </w:r>
          </w:p>
          <w:p>
            <w:pPr>
              <w:numPr>
                <w:ilvl w:val="0"/>
                <w:numId w:val="3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4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4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4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4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4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4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замърсяване на водите и терените с битови, промишлени и други отпадъци;  бивакуване и палене на огън извън определените места.( Чл. 21 от Закона за защитените територии, т.4, 6, 12, 13).</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48"/>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5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5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Допълнителни изисквания за управление са:</w:t>
            </w:r>
          </w:p>
          <w:p>
            <w:pPr>
              <w:numPr>
                <w:ilvl w:val="0"/>
                <w:numId w:val="35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5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numPr>
                <w:ilvl w:val="0"/>
                <w:numId w:val="3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едър рогат добитък и биволи –  200 евро/животинска единица (ЖЕ);</w:t>
            </w:r>
          </w:p>
          <w:p>
            <w:pPr>
              <w:numPr>
                <w:ilvl w:val="0"/>
                <w:numId w:val="3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овце и кози – 145 евро/ЖЕ;</w:t>
            </w:r>
          </w:p>
          <w:p>
            <w:pPr>
              <w:numPr>
                <w:ilvl w:val="0"/>
                <w:numId w:val="3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свине - 122 евро/ЖЕ;</w:t>
            </w:r>
          </w:p>
          <w:p>
            <w:pPr>
              <w:numPr>
                <w:ilvl w:val="0"/>
                <w:numId w:val="35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коне – 143 евро/ЖЕ;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54"/>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-Зеленчуци  - около 6000 ха;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-Трайни насаждения – около 150 ха;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видове култури – няма данни.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5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5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5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5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Минимален размер за участие в дейността е 0,1 ха.</w:t>
            </w:r>
          </w:p>
          <w:p>
            <w:pPr>
              <w:numPr>
                <w:ilvl w:val="0"/>
                <w:numId w:val="3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5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numPr>
                <w:ilvl w:val="0"/>
                <w:numId w:val="36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Полски култури –223,95 евро/ха;</w:t>
            </w:r>
          </w:p>
          <w:p>
            <w:pPr>
              <w:numPr>
                <w:ilvl w:val="0"/>
                <w:numId w:val="3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Трайни насаждения –787,39 евро/ха;</w:t>
            </w:r>
          </w:p>
          <w:p>
            <w:pPr>
              <w:numPr>
                <w:ilvl w:val="0"/>
                <w:numId w:val="3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Зеленчуци - 429,48 евро/ха;</w:t>
            </w:r>
          </w:p>
          <w:p>
            <w:pPr>
              <w:numPr>
                <w:ilvl w:val="0"/>
                <w:numId w:val="36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Ароматно-медицински култури - 536,86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36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6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6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Методология за определяне на компенсаторните плащания поМярка 10. Плащания за агроекология и климат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 аграрни доклади на МЗХ,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1. За направление </w:t>
            </w:r>
            <w:r>
              <w:rPr>
                <w:rStyle w:val="DefaultParagraphFont"/>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6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При дейност </w:t>
            </w:r>
            <w:r>
              <w:rPr>
                <w:rStyle w:val="DefaultParagraphFont"/>
                <w:rFonts w:ascii="Times New Roman" w:eastAsia="Times New Roman" w:hAnsi="Times New Roman" w:cs="Times New Roman"/>
                <w:b/>
                <w:bCs/>
                <w:szCs w:val="24"/>
              </w:rPr>
              <w:t>поддържане на затревени площи с висока природна стойност</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чрез паша</w:t>
            </w:r>
            <w:r>
              <w:rPr>
                <w:rStyle w:val="DefaultParagraphFont"/>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6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w:t>
            </w:r>
            <w:r>
              <w:rPr>
                <w:rStyle w:val="DefaultParagraphFont"/>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Style w:val="DefaultParagraphFont"/>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2.  За  направленията, включени в </w:t>
            </w:r>
            <w:r>
              <w:rPr>
                <w:rStyle w:val="DefaultParagraphFont"/>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Style w:val="DefaultParagraphFont"/>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6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6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6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3. Направление </w:t>
            </w:r>
            <w:r>
              <w:rPr>
                <w:rStyle w:val="DefaultParagraphFont"/>
                <w:rFonts w:ascii="Times New Roman" w:eastAsia="Times New Roman" w:hAnsi="Times New Roman" w:cs="Times New Roman"/>
                <w:szCs w:val="24"/>
                <w:u w:val="single"/>
              </w:rPr>
              <w:t>10.1.3 Контрол на почвената ерозия</w:t>
            </w:r>
          </w:p>
          <w:p>
            <w:pPr>
              <w:numPr>
                <w:ilvl w:val="0"/>
                <w:numId w:val="36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два пъти годишно.Затревяване на междуредовото пространство на трайни насаждения</w:t>
            </w:r>
            <w:r>
              <w:rPr>
                <w:rStyle w:val="DefaultParagraphFont"/>
                <w:rFonts w:ascii="Times New Roman" w:eastAsia="Times New Roman" w:hAnsi="Times New Roman" w:cs="Times New Roman"/>
                <w:b/>
                <w:bCs/>
                <w:szCs w:val="24"/>
              </w:rPr>
              <w:t>.</w:t>
            </w:r>
            <w:r>
              <w:rPr>
                <w:rStyle w:val="DefaultParagraphFont"/>
                <w:rFonts w:ascii="Times New Roman" w:eastAsia="Times New Roman" w:hAnsi="Times New Roman" w:cs="Times New Roman"/>
                <w:szCs w:val="24"/>
              </w:rPr>
              <w:t xml:space="preserve"> Тарифната ставка включва разходите за механизирани обработка по косене и почистване на междуредовите пространства, както и повишените трудови разходи. За създаване и поддържане на буферни ивици. Тук се отчита избягването на двойно финансиране на 5% ЕНП, задължителна по зелените плащания.</w:t>
            </w:r>
          </w:p>
          <w:p>
            <w:pPr>
              <w:numPr>
                <w:ilvl w:val="0"/>
                <w:numId w:val="36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поясно редуване на културите. Тарифната ставка се определя по формулата: допълнителни разходи слята повърхност * 30% + допълнителни разходи окопни култури * 70%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4. Направление </w:t>
            </w:r>
            <w:r>
              <w:rPr>
                <w:rStyle w:val="DefaultParagraphFont"/>
                <w:rFonts w:ascii="Times New Roman" w:eastAsia="Times New Roman" w:hAnsi="Times New Roman" w:cs="Times New Roman"/>
                <w:szCs w:val="24"/>
                <w:u w:val="single"/>
              </w:rPr>
              <w:t>10.1.4. Традиционни практики за сезонна паша (пасторализъм)</w:t>
            </w:r>
          </w:p>
          <w:p>
            <w:pPr>
              <w:numPr>
                <w:ilvl w:val="0"/>
                <w:numId w:val="36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Style w:val="DefaultParagraphFont"/>
                <w:rFonts w:ascii="Times New Roman" w:eastAsia="Times New Roman" w:hAnsi="Times New Roman" w:cs="Times New Roman"/>
                <w:b/>
                <w:bCs/>
                <w:szCs w:val="24"/>
              </w:rPr>
              <w:t xml:space="preserve">допълнителни разходи </w:t>
            </w:r>
            <w:r>
              <w:rPr>
                <w:rStyle w:val="DefaultParagraphFont"/>
                <w:rFonts w:ascii="Times New Roman" w:eastAsia="Times New Roman" w:hAnsi="Times New Roman" w:cs="Times New Roman"/>
                <w:szCs w:val="24"/>
              </w:rPr>
              <w:t>за 5 месеца паша при 1ЖЕ/ха.</w:t>
            </w:r>
          </w:p>
          <w:p>
            <w:pPr>
              <w:numPr>
                <w:ilvl w:val="0"/>
                <w:numId w:val="36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Style w:val="DefaultParagraphFont"/>
                <w:rFonts w:ascii="Times New Roman" w:eastAsia="Times New Roman" w:hAnsi="Times New Roman" w:cs="Times New Roman"/>
                <w:b/>
                <w:bCs/>
                <w:szCs w:val="24"/>
              </w:rPr>
              <w:t xml:space="preserve">допълнителни разходи </w:t>
            </w:r>
            <w:r>
              <w:rPr>
                <w:rStyle w:val="DefaultParagraphFont"/>
                <w:rFonts w:ascii="Times New Roman" w:eastAsia="Times New Roman" w:hAnsi="Times New Roman" w:cs="Times New Roman"/>
                <w:szCs w:val="24"/>
              </w:rPr>
              <w:t xml:space="preserve">за 5 месеца паша при 1ЖЕ/ха и </w:t>
            </w:r>
            <w:r>
              <w:rPr>
                <w:rStyle w:val="DefaultParagraphFont"/>
                <w:rFonts w:ascii="Times New Roman" w:eastAsia="Times New Roman" w:hAnsi="Times New Roman" w:cs="Times New Roman"/>
                <w:b/>
                <w:bCs/>
                <w:szCs w:val="24"/>
              </w:rPr>
              <w:t>допълнителни разходи</w:t>
            </w:r>
            <w:r>
              <w:rPr>
                <w:rStyle w:val="DefaultParagraphFont"/>
                <w:rFonts w:ascii="Times New Roman" w:eastAsia="Times New Roman" w:hAnsi="Times New Roman" w:cs="Times New Roman"/>
                <w:szCs w:val="24"/>
              </w:rPr>
              <w:t xml:space="preserve"> за две работни кучета.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5. Направление </w:t>
            </w:r>
            <w:r>
              <w:rPr>
                <w:rStyle w:val="DefaultParagraphFont"/>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Style w:val="DefaultParagraphFont"/>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6. Направление </w:t>
            </w:r>
            <w:r>
              <w:rPr>
                <w:rStyle w:val="DefaultParagraphFont"/>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Финансиране</w:t>
            </w:r>
            <w:r>
              <w:rPr>
                <w:rStyle w:val="DefaultParagraphFont"/>
                <w:rFonts w:ascii="Times New Roman" w:eastAsia="Times New Roman" w:hAnsi="Times New Roman" w:cs="Times New Roman"/>
                <w:b/>
                <w:bCs/>
                <w:i/>
                <w:iCs/>
                <w:szCs w:val="24"/>
              </w:rPr>
              <w:t xml:space="preserve"> на</w:t>
            </w:r>
            <w:r>
              <w:rPr>
                <w:rStyle w:val="DefaultParagraphFont"/>
                <w:rFonts w:ascii="Times New Roman" w:eastAsia="Times New Roman" w:hAnsi="Times New Roman" w:cs="Times New Roman"/>
                <w:b/>
                <w:bCs/>
                <w:i/>
                <w:iCs/>
                <w:szCs w:val="24"/>
              </w:rPr>
              <w:t xml:space="preserve"> стари</w:t>
            </w:r>
            <w:r>
              <w:rPr>
                <w:rStyle w:val="DefaultParagraphFont"/>
                <w:rFonts w:ascii="Times New Roman" w:eastAsia="Times New Roman" w:hAnsi="Times New Roman" w:cs="Times New Roman"/>
                <w:b/>
                <w:bCs/>
                <w:i/>
                <w:iCs/>
                <w:szCs w:val="24"/>
              </w:rPr>
              <w:t xml:space="preserve"> задължения</w:t>
            </w:r>
            <w:r>
              <w:rPr>
                <w:rStyle w:val="DefaultParagraphFont"/>
                <w:rFonts w:ascii="Times New Roman" w:eastAsia="Times New Roman" w:hAnsi="Times New Roman" w:cs="Times New Roman"/>
                <w:b/>
                <w:bCs/>
                <w:i/>
                <w:iCs/>
                <w:szCs w:val="24"/>
              </w:rPr>
              <w:t xml:space="preserve"> поети</w:t>
            </w:r>
            <w:r>
              <w:rPr>
                <w:rStyle w:val="DefaultParagraphFont"/>
                <w:rFonts w:ascii="Times New Roman" w:eastAsia="Times New Roman" w:hAnsi="Times New Roman" w:cs="Times New Roman"/>
                <w:b/>
                <w:bCs/>
                <w:i/>
                <w:iCs/>
                <w:szCs w:val="24"/>
              </w:rPr>
              <w:t xml:space="preserve"> по</w:t>
            </w:r>
            <w:r>
              <w:rPr>
                <w:rStyle w:val="DefaultParagraphFont"/>
                <w:rFonts w:ascii="Times New Roman" w:eastAsia="Times New Roman" w:hAnsi="Times New Roman" w:cs="Times New Roman"/>
                <w:b/>
                <w:bCs/>
                <w:i/>
                <w:iCs/>
                <w:szCs w:val="24"/>
              </w:rPr>
              <w:t xml:space="preserve"> ПРСР</w:t>
            </w:r>
            <w:r>
              <w:rPr>
                <w:rStyle w:val="DefaultParagraphFont"/>
                <w:rFonts w:ascii="Times New Roman" w:eastAsia="Times New Roman" w:hAnsi="Times New Roman" w:cs="Times New Roman"/>
                <w:b/>
                <w:bCs/>
                <w:i/>
                <w:iCs/>
                <w:szCs w:val="24"/>
              </w:rPr>
              <w:t xml:space="preserve">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Комбиниране</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дейности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по</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мярката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други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мерки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подмерки</w:t>
            </w: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b/>
                <w:bCs/>
                <w:szCs w:val="24"/>
              </w:rPr>
              <w:t>чиито</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плащания</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единица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площ</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или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животинска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единица</w:t>
            </w:r>
            <w:r>
              <w:rPr>
                <w:rStyle w:val="DefaultParagraphFont"/>
                <w:rFonts w:ascii="Times New Roman" w:eastAsia="Times New Roman" w:hAnsi="Times New Roman" w:cs="Times New Roman"/>
                <w:b/>
                <w:bCs/>
                <w:szCs w:val="24"/>
              </w:rPr>
              <w:t>:</w:t>
            </w:r>
          </w:p>
          <w:p>
            <w:pPr>
              <w:numPr>
                <w:ilvl w:val="0"/>
                <w:numId w:val="36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6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6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6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М11 — Биологично земеделие (член 29)</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мярка ще се изпълняват две подмерки:</w:t>
            </w:r>
          </w:p>
          <w:p>
            <w:pPr>
              <w:numPr>
                <w:ilvl w:val="0"/>
                <w:numId w:val="37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7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71"/>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Style w:val="DefaultParagraphFont"/>
                <w:rFonts w:ascii="Times New Roman" w:eastAsia="Times New Roman" w:hAnsi="Times New Roman" w:cs="Times New Roman"/>
                <w:i/>
                <w:iCs/>
                <w:szCs w:val="24"/>
              </w:rPr>
              <w:t>Преходният период</w:t>
            </w:r>
            <w:r>
              <w:rPr>
                <w:rStyle w:val="DefaultParagraphFont"/>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w:t>
            </w:r>
          </w:p>
          <w:p>
            <w:pPr>
              <w:numPr>
                <w:ilvl w:val="0"/>
                <w:numId w:val="37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7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тази мярка трябва да:</w:t>
            </w:r>
          </w:p>
          <w:p>
            <w:pPr>
              <w:numPr>
                <w:ilvl w:val="0"/>
                <w:numId w:val="37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и храните,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петгодишния период на прилагане на дейността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поддържат дневник на стопанството;</w:t>
            </w:r>
          </w:p>
          <w:p>
            <w:pPr>
              <w:numPr>
                <w:ilvl w:val="0"/>
                <w:numId w:val="3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3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7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7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7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Нивата за подпомагане са следните:</w:t>
            </w:r>
          </w:p>
          <w:p>
            <w:pPr>
              <w:numPr>
                <w:ilvl w:val="0"/>
                <w:numId w:val="37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полски култури, включително фуражни - 284 Евро/ха;</w:t>
            </w:r>
          </w:p>
          <w:p>
            <w:pPr>
              <w:numPr>
                <w:ilvl w:val="0"/>
                <w:numId w:val="3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постоянно затревени площи – 128 Евро/ха;</w:t>
            </w:r>
          </w:p>
          <w:p>
            <w:pPr>
              <w:numPr>
                <w:ilvl w:val="0"/>
                <w:numId w:val="3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трайни насаждения, овощни култури и лозя – 736 Евро/ха;</w:t>
            </w:r>
          </w:p>
          <w:p>
            <w:pPr>
              <w:numPr>
                <w:ilvl w:val="0"/>
                <w:numId w:val="3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ароматни и медицински растения – 515 Евро/ха;</w:t>
            </w:r>
          </w:p>
          <w:p>
            <w:pPr>
              <w:numPr>
                <w:ilvl w:val="0"/>
                <w:numId w:val="3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зеленчукови култури – 575 Евро/ха;</w:t>
            </w:r>
          </w:p>
          <w:p>
            <w:pPr>
              <w:numPr>
                <w:ilvl w:val="0"/>
                <w:numId w:val="37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пчелно семейство – в евро – 35 Евро/пчелно семейство;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едри преживни животни (млечни крави и биволици), отглеждани за мляко – 230 евро/ха;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едри преживни животни (месодайни крави и биволици), отглеждани за месо  -  160 евро/ха;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дребни преживни животни (овце-майки и  кози- майки), отглеждани за комбинирано производство (мляко и месо)  122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3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3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3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3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3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37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3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3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3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3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3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3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3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37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8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381"/>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a.       </w:t>
            </w:r>
            <w:r>
              <w:rPr>
                <w:rStyle w:val="DefaultParagraphFont"/>
                <w:rFonts w:ascii="Times New Roman" w:eastAsia="Times New Roman" w:hAnsi="Times New Roman" w:cs="Times New Roman"/>
                <w:szCs w:val="24"/>
                <w:u w:val="single"/>
              </w:rPr>
              <w:t>Обработваеми земи</w:t>
            </w:r>
          </w:p>
          <w:p>
            <w:pPr>
              <w:numPr>
                <w:ilvl w:val="0"/>
                <w:numId w:val="38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8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b.      </w:t>
            </w:r>
            <w:r>
              <w:rPr>
                <w:rStyle w:val="DefaultParagraphFont"/>
                <w:rFonts w:ascii="Times New Roman" w:eastAsia="Times New Roman" w:hAnsi="Times New Roman" w:cs="Times New Roman"/>
                <w:szCs w:val="24"/>
                <w:u w:val="single"/>
              </w:rPr>
              <w:t xml:space="preserve"> Трайни насаждения </w:t>
            </w:r>
          </w:p>
          <w:p>
            <w:pPr>
              <w:numPr>
                <w:ilvl w:val="0"/>
                <w:numId w:val="38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8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c.       </w:t>
            </w:r>
            <w:r>
              <w:rPr>
                <w:rStyle w:val="DefaultParagraphFont"/>
                <w:rFonts w:ascii="Times New Roman" w:eastAsia="Times New Roman" w:hAnsi="Times New Roman" w:cs="Times New Roman"/>
                <w:szCs w:val="24"/>
                <w:u w:val="single"/>
              </w:rPr>
              <w:t>Постоянно затревени площи</w:t>
            </w:r>
          </w:p>
          <w:p>
            <w:pPr>
              <w:numPr>
                <w:ilvl w:val="0"/>
                <w:numId w:val="38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8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8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86"/>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Преминаване към б</w:t>
            </w:r>
            <w:r>
              <w:rPr>
                <w:rStyle w:val="DefaultParagraphFont"/>
                <w:rFonts w:ascii="Times New Roman" w:eastAsia="Times New Roman" w:hAnsi="Times New Roman" w:cs="Times New Roman"/>
                <w:b/>
                <w:bCs/>
                <w:szCs w:val="24"/>
              </w:rPr>
              <w:t>иологично пчеларство</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387"/>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Преминаване към б</w:t>
            </w:r>
            <w:r>
              <w:rPr>
                <w:rStyle w:val="DefaultParagraphFont"/>
                <w:rFonts w:ascii="Times New Roman" w:eastAsia="Times New Roman" w:hAnsi="Times New Roman" w:cs="Times New Roman"/>
                <w:b/>
                <w:bCs/>
                <w:szCs w:val="24"/>
              </w:rPr>
              <w:t>иологично животновъдство</w:t>
            </w:r>
          </w:p>
          <w:p>
            <w:pPr>
              <w:numPr>
                <w:ilvl w:val="0"/>
                <w:numId w:val="38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8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89"/>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биоразнообразиетоПо тази подмярка ще се подпомагат на територията на цялата страна: биологични стопанства, съгласно дефинициите на Регламент (ЕО) № 834/2007,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9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9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w:t>
            </w:r>
          </w:p>
          <w:p>
            <w:pPr>
              <w:numPr>
                <w:ilvl w:val="0"/>
                <w:numId w:val="39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9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9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тази мярка, трябва да:</w:t>
            </w:r>
          </w:p>
          <w:p>
            <w:pPr>
              <w:numPr>
                <w:ilvl w:val="0"/>
                <w:numId w:val="39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и храните,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поддържат дневник на стопанството;</w:t>
            </w:r>
          </w:p>
          <w:p>
            <w:pPr>
              <w:numPr>
                <w:ilvl w:val="0"/>
                <w:numId w:val="3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3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фуражи, ливади и пасища в съотношение от 1 ЖЕ на 1 ха.</w:t>
            </w:r>
          </w:p>
          <w:p>
            <w:pPr>
              <w:numPr>
                <w:ilvl w:val="0"/>
                <w:numId w:val="39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39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39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3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3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3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9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Нивата за подпомагане са следните:</w:t>
            </w:r>
          </w:p>
          <w:p>
            <w:pPr>
              <w:numPr>
                <w:ilvl w:val="0"/>
                <w:numId w:val="39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полски култури, включително фуражни -  168 Евро/ха;</w:t>
            </w:r>
          </w:p>
          <w:p>
            <w:pPr>
              <w:numPr>
                <w:ilvl w:val="0"/>
                <w:numId w:val="3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постоянно затревени площи –112 Евро/ха;</w:t>
            </w:r>
          </w:p>
          <w:p>
            <w:pPr>
              <w:numPr>
                <w:ilvl w:val="0"/>
                <w:numId w:val="3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трайни насаждения, овощни култури и лозя –557 Евро/ха;</w:t>
            </w:r>
          </w:p>
          <w:p>
            <w:pPr>
              <w:numPr>
                <w:ilvl w:val="0"/>
                <w:numId w:val="3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ароматни и медицински растения – 405 Евро/ха;</w:t>
            </w:r>
          </w:p>
          <w:p>
            <w:pPr>
              <w:numPr>
                <w:ilvl w:val="0"/>
                <w:numId w:val="3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зеленчукови култури – 399 Евро/ха;</w:t>
            </w:r>
          </w:p>
          <w:p>
            <w:pPr>
              <w:numPr>
                <w:ilvl w:val="0"/>
                <w:numId w:val="39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пчелно семейство -  25 Евро/пчелно семейство;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Style w:val="DefaultParagraphFont"/>
                <w:rFonts w:ascii="Times New Roman" w:eastAsia="Times New Roman" w:hAnsi="Times New Roman" w:cs="Times New Roman"/>
                <w:b/>
                <w:bCs/>
                <w:szCs w:val="24"/>
              </w:rPr>
              <w:t>:</w:t>
            </w:r>
          </w:p>
          <w:p>
            <w:pPr>
              <w:numPr>
                <w:ilvl w:val="0"/>
                <w:numId w:val="39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едри преживни животни (млечни крави и биволици), отглеждани за мляко – 77 евро/ха;</w:t>
            </w:r>
          </w:p>
          <w:p>
            <w:pPr>
              <w:numPr>
                <w:ilvl w:val="0"/>
                <w:numId w:val="39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едри преживни животни (месодайни крави и биволици), отглеждани за месо  - 63 евро/ха;</w:t>
            </w:r>
          </w:p>
          <w:p>
            <w:pPr>
              <w:numPr>
                <w:ilvl w:val="0"/>
                <w:numId w:val="39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дребни преживни животни (овце-майки и  кози-майки), отглеждани за комбинирано производство (мляко и месо) 90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3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3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3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3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39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0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0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02"/>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Биологично растениевъдство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a.       </w:t>
            </w:r>
            <w:r>
              <w:rPr>
                <w:rStyle w:val="DefaultParagraphFont"/>
                <w:rFonts w:ascii="Times New Roman" w:eastAsia="Times New Roman" w:hAnsi="Times New Roman" w:cs="Times New Roman"/>
                <w:szCs w:val="24"/>
                <w:u w:val="single"/>
              </w:rPr>
              <w:t>Обработваеми земи</w:t>
            </w:r>
          </w:p>
          <w:p>
            <w:pPr>
              <w:numPr>
                <w:ilvl w:val="0"/>
                <w:numId w:val="40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b.      </w:t>
            </w:r>
            <w:r>
              <w:rPr>
                <w:rStyle w:val="DefaultParagraphFont"/>
                <w:rFonts w:ascii="Times New Roman" w:eastAsia="Times New Roman" w:hAnsi="Times New Roman" w:cs="Times New Roman"/>
                <w:szCs w:val="24"/>
                <w:u w:val="single"/>
              </w:rPr>
              <w:t xml:space="preserve"> Трайни насаждения </w:t>
            </w:r>
          </w:p>
          <w:p>
            <w:pPr>
              <w:numPr>
                <w:ilvl w:val="0"/>
                <w:numId w:val="40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c.       </w:t>
            </w:r>
            <w:r>
              <w:rPr>
                <w:rStyle w:val="DefaultParagraphFont"/>
                <w:rFonts w:ascii="Times New Roman" w:eastAsia="Times New Roman" w:hAnsi="Times New Roman" w:cs="Times New Roman"/>
                <w:szCs w:val="24"/>
                <w:u w:val="single"/>
              </w:rPr>
              <w:t>Постоянно затревени площи</w:t>
            </w:r>
          </w:p>
          <w:p>
            <w:pPr>
              <w:numPr>
                <w:ilvl w:val="0"/>
                <w:numId w:val="40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0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07"/>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Биологично пчеларство</w:t>
            </w:r>
          </w:p>
          <w:p>
            <w:pPr>
              <w:numPr>
                <w:ilvl w:val="0"/>
                <w:numId w:val="40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0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09"/>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Биологично животновъдство</w:t>
            </w:r>
          </w:p>
          <w:p>
            <w:pPr>
              <w:numPr>
                <w:ilvl w:val="0"/>
                <w:numId w:val="41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1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1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1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1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Размерът на компенсаторното плащане при </w:t>
            </w:r>
            <w:r>
              <w:rPr>
                <w:rStyle w:val="DefaultParagraphFont"/>
                <w:rFonts w:ascii="Times New Roman" w:eastAsia="Times New Roman" w:hAnsi="Times New Roman" w:cs="Times New Roman"/>
                <w:b/>
                <w:bCs/>
                <w:i/>
                <w:iCs/>
                <w:szCs w:val="24"/>
              </w:rPr>
              <w:t>биологично растениевъдство</w:t>
            </w: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Полски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Постоянно затревени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Трайни насаждения – овощни култури и лозя;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Ароматни и медицински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Зеленчукови култури от открити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Пропуснатите приходи са резултат 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Допълнителните разходи са 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контрол и сертифициране;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по-скъпи лекарства и дезинфектанти.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 Цените на труда, суровините и материалите са определени на базата на данни от НСИ, САПИ и МЗХ от последните три години (2011,2012 и 2013 г.). Цените на живия труд са диференцирани на нива ръчен и механизиран труд.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Style w:val="DefaultParagraphFont"/>
                <w:rFonts w:ascii="Times New Roman" w:eastAsia="Times New Roman" w:hAnsi="Times New Roman" w:cs="Times New Roman"/>
                <w:b/>
                <w:bCs/>
                <w:szCs w:val="24"/>
              </w:rPr>
              <w:t>1</w:t>
            </w:r>
            <w:r>
              <w:rPr>
                <w:rStyle w:val="DefaultParagraphFont"/>
                <w:rFonts w:ascii="Times New Roman" w:eastAsia="Times New Roman" w:hAnsi="Times New Roman" w:cs="Times New Roman"/>
                <w:b/>
                <w:bCs/>
                <w:szCs w:val="24"/>
              </w:rPr>
              <w:t xml:space="preserve"> „Биологично земеделие” на ПРСР 2014-2020</w:t>
            </w:r>
            <w:r>
              <w:rPr>
                <w:rStyle w:val="DefaultParagraphFont"/>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Финансиране</w:t>
            </w:r>
            <w:r>
              <w:rPr>
                <w:rStyle w:val="DefaultParagraphFont"/>
                <w:rFonts w:ascii="Times New Roman" w:eastAsia="Times New Roman" w:hAnsi="Times New Roman" w:cs="Times New Roman"/>
                <w:b/>
                <w:bCs/>
                <w:i/>
                <w:iCs/>
                <w:szCs w:val="24"/>
              </w:rPr>
              <w:t xml:space="preserve"> на</w:t>
            </w:r>
            <w:r>
              <w:rPr>
                <w:rStyle w:val="DefaultParagraphFont"/>
                <w:rFonts w:ascii="Times New Roman" w:eastAsia="Times New Roman" w:hAnsi="Times New Roman" w:cs="Times New Roman"/>
                <w:b/>
                <w:bCs/>
                <w:i/>
                <w:iCs/>
                <w:szCs w:val="24"/>
              </w:rPr>
              <w:t xml:space="preserve"> стари</w:t>
            </w:r>
            <w:r>
              <w:rPr>
                <w:rStyle w:val="DefaultParagraphFont"/>
                <w:rFonts w:ascii="Times New Roman" w:eastAsia="Times New Roman" w:hAnsi="Times New Roman" w:cs="Times New Roman"/>
                <w:b/>
                <w:bCs/>
                <w:i/>
                <w:iCs/>
                <w:szCs w:val="24"/>
              </w:rPr>
              <w:t xml:space="preserve"> задължения</w:t>
            </w:r>
            <w:r>
              <w:rPr>
                <w:rStyle w:val="DefaultParagraphFont"/>
                <w:rFonts w:ascii="Times New Roman" w:eastAsia="Times New Roman" w:hAnsi="Times New Roman" w:cs="Times New Roman"/>
                <w:b/>
                <w:bCs/>
                <w:i/>
                <w:iCs/>
                <w:szCs w:val="24"/>
              </w:rPr>
              <w:t xml:space="preserve"> поети</w:t>
            </w:r>
            <w:r>
              <w:rPr>
                <w:rStyle w:val="DefaultParagraphFont"/>
                <w:rFonts w:ascii="Times New Roman" w:eastAsia="Times New Roman" w:hAnsi="Times New Roman" w:cs="Times New Roman"/>
                <w:b/>
                <w:bCs/>
                <w:i/>
                <w:iCs/>
                <w:szCs w:val="24"/>
              </w:rPr>
              <w:t xml:space="preserve"> по</w:t>
            </w:r>
            <w:r>
              <w:rPr>
                <w:rStyle w:val="DefaultParagraphFont"/>
                <w:rFonts w:ascii="Times New Roman" w:eastAsia="Times New Roman" w:hAnsi="Times New Roman" w:cs="Times New Roman"/>
                <w:b/>
                <w:bCs/>
                <w:i/>
                <w:iCs/>
                <w:szCs w:val="24"/>
              </w:rPr>
              <w:t xml:space="preserve"> ПРСР</w:t>
            </w:r>
            <w:r>
              <w:rPr>
                <w:rStyle w:val="DefaultParagraphFont"/>
                <w:rFonts w:ascii="Times New Roman" w:eastAsia="Times New Roman" w:hAnsi="Times New Roman" w:cs="Times New Roman"/>
                <w:b/>
                <w:bCs/>
                <w:i/>
                <w:iCs/>
                <w:szCs w:val="24"/>
              </w:rPr>
              <w:t xml:space="preserve">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Демаркация</w:t>
            </w:r>
            <w:r>
              <w:rPr>
                <w:rStyle w:val="DefaultParagraphFont"/>
                <w:rFonts w:ascii="Times New Roman" w:eastAsia="Times New Roman" w:hAnsi="Times New Roman" w:cs="Times New Roman"/>
                <w:b/>
                <w:bCs/>
                <w:i/>
                <w:iCs/>
                <w:szCs w:val="24"/>
              </w:rPr>
              <w:t xml:space="preserve"> и</w:t>
            </w:r>
            <w:r>
              <w:rPr>
                <w:rStyle w:val="DefaultParagraphFont"/>
                <w:rFonts w:ascii="Times New Roman" w:eastAsia="Times New Roman" w:hAnsi="Times New Roman" w:cs="Times New Roman"/>
                <w:b/>
                <w:bCs/>
                <w:i/>
                <w:iCs/>
                <w:szCs w:val="24"/>
              </w:rPr>
              <w:t xml:space="preserve"> допълняемост</w:t>
            </w:r>
            <w:r>
              <w:rPr>
                <w:rStyle w:val="DefaultParagraphFont"/>
                <w:rFonts w:ascii="Times New Roman" w:eastAsia="Times New Roman" w:hAnsi="Times New Roman" w:cs="Times New Roman"/>
                <w:b/>
                <w:bCs/>
                <w:i/>
                <w:iCs/>
                <w:szCs w:val="24"/>
              </w:rPr>
              <w:t xml:space="preserve"> с</w:t>
            </w:r>
            <w:r>
              <w:rPr>
                <w:rStyle w:val="DefaultParagraphFont"/>
                <w:rFonts w:ascii="Times New Roman" w:eastAsia="Times New Roman" w:hAnsi="Times New Roman" w:cs="Times New Roman"/>
                <w:b/>
                <w:bCs/>
                <w:i/>
                <w:iCs/>
                <w:szCs w:val="24"/>
              </w:rPr>
              <w:t xml:space="preserve"> други</w:t>
            </w:r>
            <w:r>
              <w:rPr>
                <w:rStyle w:val="DefaultParagraphFont"/>
                <w:rFonts w:ascii="Times New Roman" w:eastAsia="Times New Roman" w:hAnsi="Times New Roman" w:cs="Times New Roman"/>
                <w:b/>
                <w:bCs/>
                <w:i/>
                <w:iCs/>
                <w:szCs w:val="24"/>
              </w:rPr>
              <w:t xml:space="preserve"> мерки</w:t>
            </w:r>
            <w:r>
              <w:rPr>
                <w:rStyle w:val="DefaultParagraphFont"/>
                <w:rFonts w:ascii="Times New Roman" w:eastAsia="Times New Roman" w:hAnsi="Times New Roman" w:cs="Times New Roman"/>
                <w:b/>
                <w:bCs/>
                <w:i/>
                <w:iCs/>
                <w:szCs w:val="24"/>
              </w:rPr>
              <w:t xml:space="preserve"> от</w:t>
            </w:r>
            <w:r>
              <w:rPr>
                <w:rStyle w:val="DefaultParagraphFont"/>
                <w:rFonts w:ascii="Times New Roman" w:eastAsia="Times New Roman" w:hAnsi="Times New Roman" w:cs="Times New Roman"/>
                <w:b/>
                <w:bCs/>
                <w:i/>
                <w:iCs/>
                <w:szCs w:val="24"/>
              </w:rPr>
              <w:t xml:space="preserve"> ПРСР</w:t>
            </w:r>
            <w:r>
              <w:rPr>
                <w:rStyle w:val="DefaultParagraphFont"/>
                <w:rFonts w:ascii="Times New Roman" w:eastAsia="Times New Roman" w:hAnsi="Times New Roman" w:cs="Times New Roman"/>
                <w:b/>
                <w:bCs/>
                <w:i/>
                <w:iCs/>
                <w:szCs w:val="24"/>
              </w:rPr>
              <w:t xml:space="preserve"> с</w:t>
            </w:r>
            <w:r>
              <w:rPr>
                <w:rStyle w:val="DefaultParagraphFont"/>
                <w:rFonts w:ascii="Times New Roman" w:eastAsia="Times New Roman" w:hAnsi="Times New Roman" w:cs="Times New Roman"/>
                <w:b/>
                <w:bCs/>
                <w:i/>
                <w:iCs/>
                <w:szCs w:val="24"/>
              </w:rPr>
              <w:t xml:space="preserve"> плащания</w:t>
            </w:r>
            <w:r>
              <w:rPr>
                <w:rStyle w:val="DefaultParagraphFont"/>
                <w:rFonts w:ascii="Times New Roman" w:eastAsia="Times New Roman" w:hAnsi="Times New Roman" w:cs="Times New Roman"/>
                <w:b/>
                <w:bCs/>
                <w:i/>
                <w:iCs/>
                <w:szCs w:val="24"/>
              </w:rPr>
              <w:t xml:space="preserve"> на</w:t>
            </w:r>
            <w:r>
              <w:rPr>
                <w:rStyle w:val="DefaultParagraphFont"/>
                <w:rFonts w:ascii="Times New Roman" w:eastAsia="Times New Roman" w:hAnsi="Times New Roman" w:cs="Times New Roman"/>
                <w:b/>
                <w:bCs/>
                <w:i/>
                <w:iCs/>
                <w:szCs w:val="24"/>
              </w:rPr>
              <w:t xml:space="preserve"> единица</w:t>
            </w:r>
            <w:r>
              <w:rPr>
                <w:rStyle w:val="DefaultParagraphFont"/>
                <w:rFonts w:ascii="Times New Roman" w:eastAsia="Times New Roman" w:hAnsi="Times New Roman" w:cs="Times New Roman"/>
                <w:b/>
                <w:bCs/>
                <w:i/>
                <w:iCs/>
                <w:szCs w:val="24"/>
              </w:rPr>
              <w:t xml:space="preserve"> площ</w:t>
            </w:r>
          </w:p>
          <w:p>
            <w:pPr>
              <w:numPr>
                <w:ilvl w:val="0"/>
                <w:numId w:val="41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w:t>
            </w:r>
          </w:p>
          <w:p>
            <w:pPr>
              <w:numPr>
                <w:ilvl w:val="0"/>
                <w:numId w:val="41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pStyle w:val="BodyText"/>
              <w:jc w:val="both"/>
              <w:rPr>
                <w:b w:val="0"/>
              </w:rPr>
            </w:pPr>
          </w:p>
        </w:tc>
      </w:tr>
    </w:tbl>
    <w:p>
      <w:pPr>
        <w:pStyle w:val="Heading3"/>
        <w:jc w:val="left"/>
        <w:rPr>
          <w:b w:val="0"/>
        </w:rPr>
      </w:pPr>
      <w:r>
        <w:rPr>
          <w:b w:val="0"/>
        </w:rPr>
        <w:br w:type="page"/>
      </w:r>
      <w:bookmarkStart w:id="121" w:name="_Toc256000121"/>
      <w:r>
        <w:rPr>
          <w:b w:val="0"/>
        </w:rPr>
        <w:t>M12 — Плащания по „Натура 2000“ и Рамковата директива за водите (член 30)</w:t>
      </w:r>
      <w:bookmarkEnd w:id="12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цели на мярката са следните: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16"/>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1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8"/>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9"/>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19"/>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Минимална площ за участие в мярката – 0,3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Нивата за подпомагане са представени в Приложение №13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2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 з</w:t>
            </w:r>
            <w:r>
              <w:rPr>
                <w:rStyle w:val="DefaultParagraphFont"/>
                <w:rFonts w:ascii="Times New Roman" w:eastAsia="Times New Roman" w:hAnsi="Times New Roman" w:cs="Times New Roman"/>
                <w:b/>
                <w:bCs/>
                <w:szCs w:val="24"/>
              </w:rPr>
              <w:t xml:space="preserve">а косенето на ливадите </w:t>
            </w:r>
            <w:r>
              <w:rPr>
                <w:rStyle w:val="DefaultParagraphFont"/>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Мярката е контролируема и проверима.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Базови изисквания</w:t>
            </w:r>
          </w:p>
          <w:p>
            <w:pPr>
              <w:numPr>
                <w:ilvl w:val="0"/>
                <w:numId w:val="421"/>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Обработваеми земи</w:t>
            </w:r>
          </w:p>
          <w:p>
            <w:pPr>
              <w:numPr>
                <w:ilvl w:val="0"/>
                <w:numId w:val="42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2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2.Трайни насаждения</w:t>
            </w:r>
          </w:p>
          <w:p>
            <w:pPr>
              <w:numPr>
                <w:ilvl w:val="0"/>
                <w:numId w:val="42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3.Постоянно затревени площи</w:t>
            </w:r>
          </w:p>
          <w:p>
            <w:pPr>
              <w:numPr>
                <w:ilvl w:val="0"/>
                <w:numId w:val="42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2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Забранява се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Косенето на ливади до 01 юли;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Ще се компенсират </w:t>
            </w:r>
            <w:r>
              <w:rPr>
                <w:rStyle w:val="DefaultParagraphFont"/>
                <w:rFonts w:ascii="Times New Roman" w:eastAsia="Times New Roman" w:hAnsi="Times New Roman" w:cs="Times New Roman"/>
                <w:b/>
                <w:bCs/>
                <w:szCs w:val="24"/>
              </w:rPr>
              <w:t>6 на брой забрани</w:t>
            </w:r>
            <w:r>
              <w:rPr>
                <w:rStyle w:val="DefaultParagraphFont"/>
                <w:rFonts w:ascii="Times New Roman" w:eastAsia="Times New Roman" w:hAnsi="Times New Roman" w:cs="Times New Roman"/>
                <w:szCs w:val="24"/>
              </w:rPr>
              <w:t> за селскостопанска дейност. Забраните под номера</w:t>
            </w:r>
            <w:r>
              <w:rPr>
                <w:rStyle w:val="DefaultParagraphFont"/>
                <w:rFonts w:ascii="Times New Roman" w:eastAsia="Times New Roman" w:hAnsi="Times New Roman" w:cs="Times New Roman"/>
                <w:b/>
                <w:bCs/>
                <w:szCs w:val="24"/>
              </w:rPr>
              <w:t xml:space="preserve"> 4, 11, 8, 9, 10  </w:t>
            </w:r>
            <w:r>
              <w:rPr>
                <w:rStyle w:val="DefaultParagraphFont"/>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Style w:val="DefaultParagraphFont"/>
                <w:rFonts w:ascii="Times New Roman" w:eastAsia="Times New Roman" w:hAnsi="Times New Roman" w:cs="Times New Roman"/>
                <w:b/>
                <w:bCs/>
                <w:szCs w:val="24"/>
              </w:rPr>
              <w:t>цел да се избегне двойното финансиране (с I</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стълб)</w:t>
            </w:r>
            <w:r>
              <w:rPr>
                <w:rStyle w:val="DefaultParagraphFont"/>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Пропуснатите приходи</w:t>
            </w:r>
            <w:r>
              <w:rPr>
                <w:rStyle w:val="DefaultParagraphFont"/>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Допълните разходи</w:t>
            </w:r>
            <w:r>
              <w:rPr>
                <w:rStyle w:val="DefaultParagraphFont"/>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Спестените разходи</w:t>
            </w:r>
            <w:r>
              <w:rPr>
                <w:rStyle w:val="DefaultParagraphFont"/>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Style w:val="DefaultParagraphFont"/>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Style w:val="DefaultParagraphFont"/>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пасища, ливади и мери (постоянно затревени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обработваеми земи (орни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трайни насаждения (овощни градини)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Приложение №10 е показана цялата методология, а в Приложение №13 </w:t>
            </w:r>
            <w:r>
              <w:rPr>
                <w:rStyle w:val="DefaultParagraphFont"/>
                <w:rFonts w:ascii="Times New Roman" w:eastAsia="Times New Roman" w:hAnsi="Times New Roman" w:cs="Times New Roman"/>
                <w:szCs w:val="24"/>
              </w:rPr>
              <w:t>таблица с компенсаторни плащания по зони и видове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5"/>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25"/>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25"/>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25"/>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 з</w:t>
            </w:r>
            <w:r>
              <w:rPr>
                <w:rStyle w:val="DefaultParagraphFont"/>
                <w:rFonts w:ascii="Times New Roman" w:eastAsia="Times New Roman" w:hAnsi="Times New Roman" w:cs="Times New Roman"/>
                <w:b/>
                <w:bCs/>
                <w:szCs w:val="24"/>
              </w:rPr>
              <w:t xml:space="preserve">а косенето на ливадите </w:t>
            </w:r>
            <w:r>
              <w:rPr>
                <w:rStyle w:val="DefaultParagraphFont"/>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е контролируема и проверима.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 xml:space="preserve">Базови изисквания </w:t>
            </w:r>
          </w:p>
          <w:p>
            <w:pPr>
              <w:numPr>
                <w:ilvl w:val="0"/>
                <w:numId w:val="426"/>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Обработваеми земи</w:t>
            </w:r>
          </w:p>
          <w:p>
            <w:pPr>
              <w:numPr>
                <w:ilvl w:val="0"/>
                <w:numId w:val="42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2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2.Трайни насаждения </w:t>
            </w:r>
          </w:p>
          <w:p>
            <w:pPr>
              <w:numPr>
                <w:ilvl w:val="0"/>
                <w:numId w:val="42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3.Постоянно затревени площи</w:t>
            </w:r>
          </w:p>
          <w:p>
            <w:pPr>
              <w:numPr>
                <w:ilvl w:val="0"/>
                <w:numId w:val="42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2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Забранява се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Косенето на ливади до 01 юли;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Ще се компенсират </w:t>
            </w:r>
            <w:r>
              <w:rPr>
                <w:rStyle w:val="DefaultParagraphFont"/>
                <w:rFonts w:ascii="Times New Roman" w:eastAsia="Times New Roman" w:hAnsi="Times New Roman" w:cs="Times New Roman"/>
                <w:b/>
                <w:bCs/>
                <w:szCs w:val="24"/>
              </w:rPr>
              <w:t>6 на брой забрани</w:t>
            </w:r>
            <w:r>
              <w:rPr>
                <w:rStyle w:val="DefaultParagraphFont"/>
                <w:rFonts w:ascii="Times New Roman" w:eastAsia="Times New Roman" w:hAnsi="Times New Roman" w:cs="Times New Roman"/>
                <w:szCs w:val="24"/>
              </w:rPr>
              <w:t> за селскостопанска дейност. Забраните под номера</w:t>
            </w:r>
            <w:r>
              <w:rPr>
                <w:rStyle w:val="DefaultParagraphFont"/>
                <w:rFonts w:ascii="Times New Roman" w:eastAsia="Times New Roman" w:hAnsi="Times New Roman" w:cs="Times New Roman"/>
                <w:b/>
                <w:bCs/>
                <w:szCs w:val="24"/>
              </w:rPr>
              <w:t xml:space="preserve"> 4, 11, 8, 9, 10  </w:t>
            </w:r>
            <w:r>
              <w:rPr>
                <w:rStyle w:val="DefaultParagraphFont"/>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Style w:val="DefaultParagraphFont"/>
                <w:rFonts w:ascii="Times New Roman" w:eastAsia="Times New Roman" w:hAnsi="Times New Roman" w:cs="Times New Roman"/>
                <w:b/>
                <w:bCs/>
                <w:szCs w:val="24"/>
              </w:rPr>
              <w:t>цел да се избегне двойното финансиране (с I</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стълб)</w:t>
            </w:r>
            <w:r>
              <w:rPr>
                <w:rStyle w:val="DefaultParagraphFont"/>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Пропуснатите приходи</w:t>
            </w:r>
            <w:r>
              <w:rPr>
                <w:rStyle w:val="DefaultParagraphFont"/>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Допълните разходи</w:t>
            </w:r>
            <w:r>
              <w:rPr>
                <w:rStyle w:val="DefaultParagraphFont"/>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Спестените разходи</w:t>
            </w:r>
            <w:r>
              <w:rPr>
                <w:rStyle w:val="DefaultParagraphFont"/>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Style w:val="DefaultParagraphFont"/>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Style w:val="DefaultParagraphFont"/>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пасища, ливади и мери (постоянно затревени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обработваеми земи (орни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трайни насаждения (овощни градини)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Приложение №10 е показана цялата методология, а в Приложение №13 таблица с компенсаторни плащания по зони и видове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Демаркация и допълняемост с други мерки от ПРСР с плащания на единица пл</w:t>
            </w:r>
            <w:r>
              <w:rPr>
                <w:rStyle w:val="DefaultParagraphFont"/>
                <w:rFonts w:ascii="Times New Roman" w:eastAsia="Times New Roman" w:hAnsi="Times New Roman" w:cs="Times New Roman"/>
                <w:b/>
                <w:bCs/>
                <w:i/>
                <w:iCs/>
                <w:szCs w:val="24"/>
              </w:rPr>
              <w:t>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43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3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2" w:name="_Toc256000122"/>
      <w:r>
        <w:rPr>
          <w:b w:val="0"/>
        </w:rPr>
        <w:t>М13 — Плащания за райони, изправени пред природни или други специфични ограничения (член 31)</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Style w:val="DefaultParagraphFont"/>
                <w:rFonts w:ascii="Times New Roman" w:eastAsia="Times New Roman" w:hAnsi="Times New Roman" w:cs="Times New Roman"/>
                <w:b/>
                <w:bCs/>
                <w:szCs w:val="24"/>
              </w:rPr>
              <w:t xml:space="preserve">земеделските земи </w:t>
            </w:r>
            <w:r>
              <w:rPr>
                <w:rStyle w:val="DefaultParagraphFont"/>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3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13.1 Компенсационни плащания в планински райони;</w:t>
            </w:r>
          </w:p>
          <w:p>
            <w:pPr>
              <w:numPr>
                <w:ilvl w:val="0"/>
                <w:numId w:val="43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3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Плащанията по мярката допринасят за постигане на целите на </w:t>
            </w:r>
            <w:r>
              <w:rPr>
                <w:rStyle w:val="DefaultParagraphFont"/>
                <w:rFonts w:ascii="Times New Roman" w:eastAsia="Times New Roman" w:hAnsi="Times New Roman" w:cs="Times New Roman"/>
                <w:b/>
                <w:bCs/>
                <w:szCs w:val="24"/>
              </w:rPr>
              <w:t>приоритет 4</w:t>
            </w:r>
            <w:r>
              <w:rPr>
                <w:rStyle w:val="DefaultParagraphFont"/>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Style w:val="DefaultParagraphFont"/>
                <w:rFonts w:ascii="Times New Roman" w:eastAsia="Times New Roman" w:hAnsi="Times New Roman" w:cs="Times New Roman"/>
                <w:b/>
                <w:bCs/>
                <w:szCs w:val="24"/>
              </w:rPr>
              <w:t>приоритетна област 4А</w:t>
            </w:r>
            <w:r>
              <w:rPr>
                <w:rStyle w:val="DefaultParagraphFont"/>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32"/>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планинските райони в България 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Брой на землищата и площ на планинските райони: Figure</w:t>
            </w:r>
            <w:r>
              <w:rPr>
                <w:rStyle w:val="DefaultParagraphFont"/>
                <w:rFonts w:ascii="Times New Roman" w:eastAsia="Times New Roman" w:hAnsi="Times New Roman" w:cs="Times New Roman"/>
                <w:b/>
                <w:bCs/>
                <w:szCs w:val="24"/>
              </w:rPr>
              <w:t xml:space="preserve"> 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08" name=""/>
                  <wp:cNvGraphicFramePr/>
                  <a:graphic xmlns:a="http://schemas.openxmlformats.org/drawingml/2006/main">
                    <a:graphicData uri="http://schemas.openxmlformats.org/drawingml/2006/picture">
                      <pic:pic xmlns:pic="http://schemas.openxmlformats.org/drawingml/2006/picture">
                        <pic:nvPicPr>
                          <pic:cNvPr id="506961221" name=""/>
                          <pic:cNvPicPr/>
                        </pic:nvPicPr>
                        <pic:blipFill>
                          <a:blip xmlns:r="http://schemas.openxmlformats.org/officeDocument/2006/relationships" r:embed="rId18"/>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Евро / хектар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 50,0 ха - 130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частта над 50,0 ха – 100,0 ха - 70евро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частта над 100,0 ха - 30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 и Дирекция „Агростатистика” към МЗХ.</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точка 8.2.11.7.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33"/>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Брой на землищата и площ на другите необлагодетелствани райони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със съществени природни ограничения (ТАБЛИЦА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09" name=""/>
                  <wp:cNvGraphicFramePr/>
                  <a:graphic xmlns:a="http://schemas.openxmlformats.org/drawingml/2006/main">
                    <a:graphicData uri="http://schemas.openxmlformats.org/drawingml/2006/picture">
                      <pic:pic xmlns:pic="http://schemas.openxmlformats.org/drawingml/2006/picture">
                        <pic:nvPicPr>
                          <pic:cNvPr id="514139038" name=""/>
                          <pic:cNvPicPr/>
                        </pic:nvPicPr>
                        <pic:blipFill>
                          <a:blip xmlns:r="http://schemas.openxmlformats.org/officeDocument/2006/relationships" r:embed="rId19"/>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Евро / хектар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 50,0 ха - </w:t>
            </w:r>
            <w:r>
              <w:rPr>
                <w:rStyle w:val="DefaultParagraphFont"/>
                <w:rFonts w:ascii="Times New Roman" w:eastAsia="Times New Roman" w:hAnsi="Times New Roman" w:cs="Times New Roman"/>
                <w:szCs w:val="24"/>
              </w:rPr>
              <w:t>70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частта над 50,0 ха – 100,0 ха - 30евро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частта над 100,0 ха - 15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 и Дирекция „Агростатистика” към МЗХ.</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точка 8.2.11.7.</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е разработена от:</w:t>
            </w:r>
          </w:p>
          <w:p>
            <w:pPr>
              <w:numPr>
                <w:ilvl w:val="0"/>
                <w:numId w:val="43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3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Доц. д-р Божидар Иванов – Институт по аграрна икономика </w:t>
            </w:r>
          </w:p>
          <w:p>
            <w:pPr>
              <w:numPr>
                <w:ilvl w:val="0"/>
                <w:numId w:val="43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Ас. Емилия Соколова – Институт по аграрна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 Дирекция „Растениевъдство” на МЗХ,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точка 8.2.11.7.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Планинските райони са землища които са:</w:t>
            </w:r>
          </w:p>
          <w:p>
            <w:pPr>
              <w:numPr>
                <w:ilvl w:val="0"/>
                <w:numId w:val="43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 средна надморска височина минимум 700 м;</w:t>
            </w:r>
          </w:p>
          <w:p>
            <w:pPr>
              <w:numPr>
                <w:ilvl w:val="0"/>
                <w:numId w:val="43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 среден наклон на терена минимум 20%;</w:t>
            </w:r>
          </w:p>
          <w:p>
            <w:pPr>
              <w:numPr>
                <w:ilvl w:val="0"/>
                <w:numId w:val="43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 средна надморска височина между минимум 500 м в комбинация със среден наклон на терена минимум 15%;</w:t>
            </w:r>
          </w:p>
          <w:p>
            <w:pPr>
              <w:numPr>
                <w:ilvl w:val="0"/>
                <w:numId w:val="43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със землищата, попадащи в обхвата на районите със специфични ограничения, ще бъде представен в Приложение към ПРСР (2014-2020), след тяхното дефиниране.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Други важни забележки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Финансиране на стари задължения, поети по ПРСР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ангажименти по дейности от ПРСР (2007-2013) ще бъдат финансирани от старата програмата до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като новото определяне на границите на районите с природни ограничения, различни от планинските райони, бъде завършено - най-късно в края на 2017 г., площите, определени в тази категория, които попадат в стария обхват, но не попадат в новия, влизат в преходна схема. Бенефициентите в тези райони ще получават максимум 80% от средната стойност на плащанията, които са получили в рамките на програмата за периода 2007-2013 г. Плащанията ще приключват поетапно като намаляват прогресивно до 2020 г., с максимум 20% от плащанията по Програмата за периода 2007-2013 г.</w:t>
            </w:r>
          </w:p>
          <w:p>
            <w:pPr>
              <w:pStyle w:val="BodyText"/>
              <w:jc w:val="both"/>
              <w:rPr>
                <w:b w:val="0"/>
              </w:rPr>
            </w:pPr>
          </w:p>
        </w:tc>
      </w:tr>
    </w:tbl>
    <w:p>
      <w:pPr>
        <w:pStyle w:val="Heading3"/>
        <w:jc w:val="left"/>
        <w:rPr>
          <w:b w:val="0"/>
        </w:rPr>
      </w:pPr>
      <w:r>
        <w:rPr>
          <w:b w:val="0"/>
        </w:rPr>
        <w:br w:type="page"/>
      </w:r>
      <w:bookmarkStart w:id="123" w:name="_Toc256000123"/>
      <w:r>
        <w:rPr>
          <w:b w:val="0"/>
        </w:rPr>
        <w:t>M14 — Хуманно отношение към животните (член 33)</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Принос към областите на въздействие</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3А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Цели на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Тип на подпомагането: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ще се предоставя под формата на годишни плащания за покриване  на допълнителни разходи или пропуснати доходи, свързани с изпълнение на доброволни ангажименти, поети за период от най-малко 5 години от земеделски производители, отглеждащи преживни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Осигуряване на свободна подова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намаляване на броя на отглежданите животни, респективно приходите от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Осигуряване на свободно отглеждане на открито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Mинимум 160 дни годишно, от които минимум 120 дни за свободно пашуване и 40 дни за свободно отглеждане в дворчета.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14.1.1 Осигуряване на свободна подова площ не по-малко от 10 % над задължителния стандарт (телета)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14.1.</w:t>
            </w:r>
            <w:r>
              <w:rPr>
                <w:rStyle w:val="DefaultParagraphFont"/>
                <w:rFonts w:ascii="Times New Roman" w:eastAsia="Times New Roman" w:hAnsi="Times New Roman" w:cs="Times New Roman"/>
                <w:b/>
                <w:bCs/>
                <w:szCs w:val="24"/>
              </w:rPr>
              <w:t xml:space="preserve">2 </w:t>
            </w:r>
            <w:r>
              <w:rPr>
                <w:rStyle w:val="DefaultParagraphFont"/>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Свободно отглеждане минимум 160 дни годишно, от които минимум 120 дни  за свободно пашуване и 40 дни за свободно отглеждане в дворчета.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Изисквания към кандидатите:</w:t>
            </w:r>
          </w:p>
          <w:p>
            <w:pPr>
              <w:numPr>
                <w:ilvl w:val="0"/>
                <w:numId w:val="43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3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3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ангажименти се изпълняват за срок от минимум пет години.  Спазването на изискванията по отношение на поетите ангажименти ще подлежат на проверка ежегодно.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14.1.1 Осигуряване на свободна подова площ не по-малко от 10 % над задължителния стандарт в евро/ЖЕ - 27,46 евро;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14.1.2 Осигуряване на свободно отглеждане на открито на преживни животни в евро/ЖЕ- 24,54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3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3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3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37"/>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3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3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38"/>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14.1.1 Осигуряване на свободна подова площ:</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14.1.2 Осигуряване на свободно отглеждане на открито - </w:t>
            </w:r>
            <w:r>
              <w:rPr>
                <w:rStyle w:val="DefaultParagraphFont"/>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Свободно отглеждане минимум 160 дни годишно, от които минимум 120 дни  за свободно пашуване и 40 дни за свободно отглеждане в дворчета.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39"/>
              </w:numPr>
              <w:spacing w:before="24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разплодници в помещение 2,4 – 2,6 м2/на двор 3,3 -3,9 м2;</w:t>
            </w:r>
          </w:p>
          <w:p>
            <w:pPr>
              <w:numPr>
                <w:ilvl w:val="0"/>
                <w:numId w:val="439"/>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овце и кози майки в помещение 1,1 – 1,5 м2/на двор 1,7 -2,8 м2;</w:t>
            </w:r>
          </w:p>
          <w:p>
            <w:pPr>
              <w:numPr>
                <w:ilvl w:val="0"/>
                <w:numId w:val="439"/>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агнета и ярета в помещение 0,44 м2/на двор 0,7 -0,8 м2;</w:t>
            </w:r>
          </w:p>
          <w:p>
            <w:pPr>
              <w:numPr>
                <w:ilvl w:val="0"/>
                <w:numId w:val="439"/>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агнета и ярета в помещение 0,44 м2/на двор 0,7 -0,8 м2;</w:t>
            </w:r>
          </w:p>
          <w:p>
            <w:pPr>
              <w:numPr>
                <w:ilvl w:val="0"/>
                <w:numId w:val="439"/>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39"/>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39"/>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шилета за угоява в помещение 0,7 - 0,8 м2/на двор 1,7 -2,2 м2;</w:t>
            </w:r>
          </w:p>
          <w:p>
            <w:pPr>
              <w:numPr>
                <w:ilvl w:val="0"/>
                <w:numId w:val="439"/>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Изисквания към кандидатите:</w:t>
            </w:r>
          </w:p>
          <w:p>
            <w:pPr>
              <w:numPr>
                <w:ilvl w:val="0"/>
                <w:numId w:val="44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4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4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ангажименти се изпълняват за срок от минимум пет години.  Спазването на изискванията по отношение на поетите ангажименти ще подлежат на проверка ежегодно.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14.2.1 Осигуряване на свободно отглеждане на открито на преживни животни в евро/ЖЕ-22,50 евро.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4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4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4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4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4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4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4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4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4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14.2.2 Осигуряване на свободна подова площ:</w:t>
            </w:r>
          </w:p>
          <w:p>
            <w:pPr>
              <w:numPr>
                <w:ilvl w:val="0"/>
                <w:numId w:val="443"/>
              </w:numPr>
              <w:spacing w:before="24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разплодници в помещение 2,2 – 2,4 м2/на двор 3,0 -3,5 м2;</w:t>
            </w:r>
          </w:p>
          <w:p>
            <w:pPr>
              <w:numPr>
                <w:ilvl w:val="0"/>
                <w:numId w:val="443"/>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овце и кози майки в помещение 1,0 – 1,4 м2/на двор 1,5 -2,5 м2;</w:t>
            </w:r>
          </w:p>
          <w:p>
            <w:pPr>
              <w:numPr>
                <w:ilvl w:val="0"/>
                <w:numId w:val="443"/>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агнета и ярета в помещение 0,4 м2/на двор 0,6 -0,7;</w:t>
            </w:r>
          </w:p>
          <w:p>
            <w:pPr>
              <w:numPr>
                <w:ilvl w:val="0"/>
                <w:numId w:val="443"/>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43"/>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43"/>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шилета за угоява в помещение 0,6 - 0,7 м2/на двор 1,5 -2,0 м2;</w:t>
            </w:r>
          </w:p>
          <w:p>
            <w:pPr>
              <w:numPr>
                <w:ilvl w:val="0"/>
                <w:numId w:val="443"/>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бракувани овце в помещение 0,9 м2/на двор 1,5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4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4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4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4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44"/>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4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4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4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4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Осъществяване на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Осигуряване на свободна подова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Осигуряване на свободно отглеждане на открито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представя ветеринарномедицински дневник, в който се вписват дните и часовете на извеждане за свободно отглеждане. Кандидатът предоставя разрешително за паша на отглежданите животни.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4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4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4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4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ветеринарномедицинската дейност (ЗВД);</w:t>
            </w:r>
          </w:p>
          <w:p>
            <w:pPr>
              <w:numPr>
                <w:ilvl w:val="0"/>
                <w:numId w:val="44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защита на животните;</w:t>
            </w:r>
          </w:p>
          <w:p>
            <w:pPr>
              <w:numPr>
                <w:ilvl w:val="0"/>
                <w:numId w:val="44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Използвани са различни източници на информация, като основно това са официални данни на отдел „Агростатистика” на МЗХ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Style w:val="DefaultParagraphFont"/>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4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4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4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4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Животни от рода на овцете и козите - 0,15 ЖЕ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М15 — Екологични услуги и услуги във връзка с климата в горското стопанство и опазване на горите (член 34)</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34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37 и 42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Националната стратегия за Устойчиво развитие на горския сектор в България 2013-2020 г., горите се възприемат от българското общество като част от националното богатство и националната ни идентичност. Техните икономически, социални и екологични функции са от важно значение за устойчивото развитие на обществото и за подобряване на условията на живот, най-вече в селските и планински райони. Управлението на българските гори е ключов фактор за опазване на биологичното и ландшафтно разнообразие у нас. Българските гори осигуряват около 85% от водния отток в страната или около 3.6 млрд м3 ресурс от чиста питейна вода. Те имат значителна роля за намаляване емисиите от парникови газове в атмосферата, като свързват въглерода в натрупаната биомаса и фактически поглъщат СО2. Постоянното покритие с горскодървесна растителност е предпоставка за запазване на почвите и спиране на ерозията.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Важна цел от Стратегията е опазване и възстановяване компонентите на биологичното и ландшафтно разнообразие чрез интегриране на консервационните цели в горскостопанските практики, изграждане на адекватни системи за “ex-situ” съхраняване и природосъобразно управление на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тази мярка ще допринесат за приоритетна област 4А за опазването на биоразнообразието в горите. Мярката се състои от две подмерки: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Плащания за горски екологични ангажименти и услуги свързани с климата, която поради липса на система за контрол ще се прилага от началото на 2016 г., 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 за съхранение и производство на горски генетични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15.2. Подпомагане за запазване и поддръжка на горски генетични ресурси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48"/>
              </w:numPr>
              <w:rPr>
                <w:b w:val="0"/>
              </w:rPr>
            </w:pPr>
            <w:r>
              <w:rPr>
                <w:b w:val="0"/>
              </w:rPr>
              <w:t>15.2 — подпомагане за опазването и укрепването на генетичните ресурси в горските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подмярка е в отговор на необходимостта от опазване на горските генетични ресурси, включително и  дейноститe по  развитие  на системата за опазването и устойчивото им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 България е малка по територия, но географското й положение е такова, че в нея се среща голямо разнообразие на екологични условия – орография, геологичен строеж и петрографски състав, климатична динамика и почвено разнообразие. Това обуславя наличието на богата горско-дървесна и храстова растителност. Досегашните проучвания са установили множество подвидове, вариетети и форми на дървесните и храстови видове показващи генетичното богатство на нашия горски фонд. На този генетичен запас трябва да се гледа като на естествено природно богатство. Именно в него се крие устойчивостта на горските популации. Горския генетичен фонд има изключително важно значение за живота на човека, като съществен компонент на околната среда. Ето защо опознаването и опазването му е една от предпоставките за опазване на околната среда. Необходимо е да бъде предотвратена евентуалната загуба на генетичен фонд, тъй като тя може да доведе до отрицателни последици за пригодността, продуктивността и да възпрепятства адаптивните промени в популациите в отговор на промяната на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България се гордее с редица съхранени уникални автохтонни популации от иглолистни и широколистни дървесни видове и храсти. В днешно време, от една страна рисковете от загуба на генетични ресурси в резултат на антропогенна дейност, природни бедствия, въздействие на промените в климата и други неблагоприятни фактори и от друга страна отговорността за това какво ще оставим на бъдещите поколения, ни задължава да предприемем още действия за опазване на горските генетични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Запазването на генетичните ресурси по метода „ex situ” ни дава възможност устойчиво да съхраняваме и запазваме генетични ресурси, с което ще намалим риска от загуба на биологично разнообразие при евентуални бедствия, промяна на климата, едроплощни природни нарушения и други негативни фактори. Съхраняването за в бъдеще на генетичен материал в генната банка, семепроизводствени градини и клонови колекции ще осигури широк спектър от генетични запаси и ще позволи използването на най-подходящите произходи при необходимост от възстановяване на увредени хабитати. По този начин в голямя степен ще се горантира приноса на горите за екологични, климатични и социални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І. Дейности за опазване на генетичните ресурси, които са свързани 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“ex situ” съхранение чрез създаване на семепроизводствени градини и клонови колекции от различни произходи на местните дървесни видове.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“ex situ” съхранение чрез попълване и поддържане на колекция от семена от горскодървесни и храстови видове в генна банка и база данни.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ІІ. За целите по т.І са допустими и следните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Инвестиции за определяне, добив, съхранение и производство на горски генетични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Обмяна на информация и опит с компетентни организации от други държави-членки в областта на горските генетични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Разпространение на информация във връзка с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Закон за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21 от 12 ноември 2012 година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ind w:left="28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28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28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4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Държавни институции, отговорни за управлението на горските генетичните ресурси</w:t>
            </w:r>
          </w:p>
          <w:p>
            <w:pPr>
              <w:numPr>
                <w:ilvl w:val="0"/>
                <w:numId w:val="44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Научни институти и университети с компетентност относно горските генетични ресурси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определяне на източници, събиране, преработка и добив на горски репродуктивни материали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производство на фиданки за създаване на семепроизводствени градини и клонови колекции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създаване, попълване, отглеждане и поддържане на семепроизводствени градини и клонови колекции, включително тяхното ограждане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командировъчни (пътни, дневни, квартирни), свързани определяне на източници и добива на горски репродуктивни материали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разработване и закупуване на специализиран софтуер в областта на генетичните ресурси, както и разработване и поддържане на интернет сайт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разпространение на резултатите от проекта – създаване на интернет сайт, печатни материали, семинари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обмяна на информация и опит с компетентни организации от други държави-членки в областта на горските генетични ресурси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инвестиции за целите на проекта, включително и чрез финансов лизинг, на нови специализирани машини и прикачен инвентар, техника, оборудване и съоръжения; лабораторно оборудване и апаратура и свързаните с тях химикали и консумативи за нуждите на генната банка.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закупуване на високопроходими автомобили.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Кандидатите трябва да представят план за изпълнение на проекта за период от 5 години в случаите на създаване на семепроизводствена градина и клонова колекция и 7 години за нуждите на генната банка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Планът за изпълнение трябва да съдържа цели, описание на дейностите и предвидените инвестиции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Всички дейности по запазването на генетичното разнообразие е свързано само с дървесни видове, които са местни за България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Държавните институции, отговорни за управлението на горските генетични ресурси, които изпълняват дейности, свързани със създаване на семепроизводствени градини и клонови колекции, изпълняват проекти само в териториалния обхват, определен в устройствения правилник на институцията.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закупуване на високопроходими автомобили са допустими само за нуждите на генната банка и са пряко свързани със събирането на горски репродуктивен материал, като за периода на изпълнение на програмата се подпомага закупуването само по един високопроходим автомобил за всяко от специализираните териториални звена, отговорни за управлението на горските генетичните ресурси.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 се подпомагат като самостоятелен проект дейности, включващи единствено информационни дейности, инвестиции и дейности по обмяна на информация и опит с други държави-членки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 настоящата подмярка не се предоставя подпомагане за дейности, финансирани от Рамковата програма на ЕС за научни изследвания и иновации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 „ex situ” съхранение чрез попълване и поддържане на колекция от семена от горскодървесни и храстови видове в генна банка и база данни.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сухоустойчиви дървесни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устойчиви на пожари дървесни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редки и ценни дървесни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застрашени от генетична ерозия дървесни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основни дървесни видове от автохтонни популации.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Бюджетът на тази подмярка е в размер на левовата равностойност на 1 500 000 евро. Процентът на съфинансиране от ЕЗФРСР е 75 %.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100% от общите допустими разходи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350 000 евро в случаите, когато се отнася за генна банка, и 150 000 евро в случаите, когато се отнася за семепроизводствени градини и клонови колекции.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 е авансово плащане в размер до 50% от общия размер на одобрената финансова помощ, в случай, че е предвидено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5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50"/>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Подобряване на контролните системи, чрез въвеждане на кръстосани проверки с останалите мерки и под-мерки от ПРСР за установяване на допустимостта на заявените дейности/разходи.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съответните задължителни изисквания, установени в националното законодателство в областта на горите или в друго приложимо национално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на прогнозите и параметрите, включително описание на базовите изисквания, посочени в член 34,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съответните задължителни изисквания, установени в националното законодателство в областта на горите или в друго приложимо национално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Описание на методологията и на прогнозите и параметрите, включително описание на базовите изисквания, посочени в член 34,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3"/>
        <w:jc w:val="left"/>
        <w:rPr>
          <w:b w:val="0"/>
        </w:rPr>
      </w:pPr>
      <w:r>
        <w:rPr>
          <w:b w:val="0"/>
        </w:rPr>
        <w:br w:type="page"/>
      </w:r>
      <w:bookmarkStart w:id="125" w:name="_Toc256000125"/>
      <w:r>
        <w:rPr>
          <w:b w:val="0"/>
        </w:rPr>
        <w:t>M16 — Сътрудничество (член 35)</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Целта на мярката</w:t>
            </w:r>
            <w:r>
              <w:rPr>
                <w:rStyle w:val="DefaultParagraphFont"/>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Мярката допринася основно към реализирането на </w:t>
            </w:r>
            <w:r>
              <w:rPr>
                <w:rStyle w:val="DefaultParagraphFont"/>
                <w:rFonts w:ascii="Times New Roman" w:eastAsia="Times New Roman" w:hAnsi="Times New Roman" w:cs="Times New Roman"/>
                <w:b/>
                <w:bCs/>
                <w:szCs w:val="24"/>
              </w:rPr>
              <w:t>приоритетна област 1Б</w:t>
            </w:r>
            <w:r>
              <w:rPr>
                <w:rStyle w:val="DefaultParagraphFont"/>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Style w:val="DefaultParagraphFont"/>
                <w:rFonts w:ascii="Times New Roman" w:eastAsia="Times New Roman" w:hAnsi="Times New Roman" w:cs="Times New Roman"/>
                <w:b/>
                <w:bCs/>
                <w:szCs w:val="24"/>
              </w:rPr>
              <w:t>2А, 3А, 4А, 4Б, 4В, 5А, 5Б, 5В, 5Г, 5Д</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51"/>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Style w:val="DefaultParagraphFont"/>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Style w:val="DefaultParagraphFont"/>
                <w:rFonts w:ascii="Times New Roman" w:eastAsia="Times New Roman" w:hAnsi="Times New Roman" w:cs="Times New Roman"/>
                <w:b/>
                <w:bCs/>
                <w:szCs w:val="24"/>
              </w:rPr>
              <w:t>част 8.2.14.7.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Земеделски стопани;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МСП в областта на преработката на храни;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представят план, който съдържа следното: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При подбор на проекти </w:t>
            </w:r>
            <w:r>
              <w:rPr>
                <w:rStyle w:val="DefaultParagraphFont"/>
                <w:rFonts w:ascii="Times New Roman" w:eastAsia="Times New Roman" w:hAnsi="Times New Roman" w:cs="Times New Roman"/>
                <w:szCs w:val="24"/>
                <w:u w:val="single"/>
              </w:rPr>
              <w:t>за първа фаза</w:t>
            </w:r>
            <w:r>
              <w:rPr>
                <w:rStyle w:val="DefaultParagraphFont"/>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5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5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5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5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5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оперативни групи, изпълнявали </w:t>
            </w:r>
            <w:r>
              <w:rPr>
                <w:rStyle w:val="DefaultParagraphFont"/>
                <w:rFonts w:ascii="Times New Roman" w:eastAsia="Times New Roman" w:hAnsi="Times New Roman" w:cs="Times New Roman"/>
                <w:szCs w:val="24"/>
                <w:u w:val="single"/>
              </w:rPr>
              <w:t>проекти с първа фаза</w:t>
            </w:r>
            <w:r>
              <w:rPr>
                <w:rStyle w:val="DefaultParagraphFont"/>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една оперативна група за един проект е 1 000 000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5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53"/>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16.1. са изчислени по методика, при която е  допуснато, че ще има три вида разходи, които произтичат от акта на сътрудничеството и организацията на изпълнението на иновативния проект на оперативните групи. Определянето на вида на опростените разходи за сформиране и функциониране на ОП на ЕПИ и 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w:t>
            </w:r>
            <w:r>
              <w:rPr>
                <w:rStyle w:val="DefaultParagraphFont"/>
                <w:rFonts w:ascii="Times New Roman" w:eastAsia="Times New Roman" w:hAnsi="Times New Roman" w:cs="Times New Roman"/>
                <w:i/>
                <w:iCs/>
                <w:szCs w:val="24"/>
              </w:rPr>
              <w:t>Data mining</w:t>
            </w:r>
            <w:r>
              <w:rPr>
                <w:rStyle w:val="DefaultParagraphFont"/>
                <w:rFonts w:ascii="Times New Roman" w:eastAsia="Times New Roman" w:hAnsi="Times New Roman" w:cs="Times New Roman"/>
                <w:szCs w:val="24"/>
              </w:rPr>
              <w:t>) като процес на откриване на смислени корелации, зависимости, повтарящи се образци и тенденции в големи масиви от данни. Този вид извличане на данни посредством предварително формулирани заявки към базите данни събрани от предишни периоди, генерира имплицитно формулиране на не очевидна, предварително известна и полезна информация за използване на допустими, одобрени, прозрачно и точно направени разходи в минали периода за оценка на бъдещите такива. Предложени са три вида разходи, произтичащи от акта на сътрудничество, групирани съгласно т.5 от Guidance document “Co-operation” measure (version:November 2014), а именно: разходи за проучвания; разходи за стимулиране на интерес и разширяване на състава на оперативната група; текущи разходи във връзка със сътрудничеството.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гореописания подход, бяха извлечени, статистически обработени и пресметнати средните стойности на релевантни единични дейности по отделни проекти, които са прилагани по подхода ЛИДЕР по Програмата за развитие на селските райони през програмния период 2007 – 2013 г. и на тяхна база са предложени стандартни таблица за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и храните и Държавен фонд „Земеделие“, съгласно чл.62 , пар.2 от регламент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16.2. Подкрепа за пилотни проекти и за развитие на нови продукти, практики, процеси и технологии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54"/>
              </w:numPr>
              <w:rPr>
                <w:b w:val="0"/>
              </w:rPr>
            </w:pPr>
            <w:r>
              <w:rPr>
                <w:b w:val="0"/>
              </w:rPr>
              <w:t>16.2 — подпомагане за пилотни проекти и за разработване на нови продукти, практики, процеси и технологии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на новосъздадени клъстери, в които са групирани независими предприятия, включително новосъздадени предприятия, малки, средни и големи предприятия, както и консултативни органи и/или научноизследователски организации, които целят да стимулират икономическата/иновативната дейност чрез утвърждаване на усилено взаимодействие, споделянето на съоръжения и обмена на знания и експертен опит, както и чрез ефективно допринасяне за трансфера на знания, свързването в мрежа и разпространяването на информация сред предприятията в клъстера.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изпълнение на проекти насочени към  производство на качествени и безопасни храни; подобряване на конкурентоспособността на първичните производители чрез по-доброто им интегриране в селскостопанската и хранителната верига; възстановяване, опазване и укрепване на биологичното разнообразие и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Един новосъздаден клъстер може да изпълнява един проект за сътрудничество. В проекта се посочва организацията на сътрудничеството в рамките на клъстера, участниците и  икономическата/иновативна дейност на всеки участник, както и общите дейности, вида на споделените съоръжения, информацията, която ще се разпространява сред участниците, включени в клъстера.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на новосъздаден клъстери за изпълнение на действията по конкретни проекти за сътрудничество.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не се подкрепят проекти, които са самостоятелни научни изследвания.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проектите не може да се включват:  демонстрационни обекти, съгласно определянето им като такива по подмярка 1.2. от мярка 1“Трансфер на знания и дейности за осведомяване“; обекти включвани в проекти за подкрепа по ОП „Наука и образование за интелигентен растеж“; дейности и лица, подкрепени по ОП „Иновации и конкурентоспособност“ в съответствие с демаркацията.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Финансирането на новосъздадените клъстери може да обхваща две фази: фаза на сформиране на клъстера и фаза на функциониране на новосъздадения клъстер. Условията за двете фази отговарят на изискванията посочени за подмярка 16.1 в т. 8.2.14.3.1.2.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биоразнообразието и безопасност на храните.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новосъздадени клъстери, които изпълняват конкретни проекти за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Проучвания за приложимост на проекта за сътрудничество – 5 000 евро на година за новосъздаден  -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Стимулиране на интерес и разширяване на състава на клъстера – 10 000 евро на година за новосъздаден клъстер -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Текущи разходи във връзка със сътрудничеството – 35 000 евро на година за новосъздаден клъстер – допустими само за втора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Преки разходи за изпълнение на проект за сътрудничество, включително разходи за инвестиции – съгласно представен инвестиционен план - допустими само за втора фаза на изпълнение.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Да са новосъздаден клъстер под формата на обединение, в което са включени   лица или организации от следния вид: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Независими предприятия, включително новосъздадени, които могат да бъдат: малки, средни или големи предприятия, извършващи дейност в областта на първичното производство на земеделска продукция или преработката.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Научноизследователски организации, които могат да бъдат: научни институти или опитни станции, които извършват научни изследвания и научно обслужване в областта на селското стопанство или биотехнологиите или хранителните технологии и са организации по Закона за Селскостопанската академия, Закона за Българската академия на науките;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„Хранителни технологии“, „Биотехнологии“, „Науки за земята“.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Организации, които осъществяват оценка на съответствието на качествените характеристики на храните, лабораторно-диагностична и научноизследователска дейност, обучение и квалификация.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Експериментални лаборатории, изследователски институти по смисъла на чл. 60 от Закона за администрацията.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организации с предмет на консултантската дейност в областта на селското стопанство или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Клъстерът да е обединение от минимум 5 субекта от допустимите лица или организации.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Дейностите, които ще се извършват в клъстера, да са в обхвата на Приложение I от ДФЕС.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Да бъде представен подробен план и етапи за изпълнение на проекта за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Съдържанието на плана е представено в </w:t>
            </w:r>
            <w:r>
              <w:rPr>
                <w:rStyle w:val="DefaultParagraphFont"/>
                <w:rFonts w:ascii="Times New Roman" w:eastAsia="Times New Roman" w:hAnsi="Times New Roman" w:cs="Times New Roman"/>
                <w:b/>
                <w:bCs/>
                <w:szCs w:val="24"/>
              </w:rPr>
              <w:t>т. 8.2.14.3.2.12. Information specific to the operation</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избор се базират на следните принципи: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Оценка на основните характеристики на клъстера – структура, териториално покритие, регионално или секторно 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Оценка на планираните дейности на клъстера и степента на покриване на една или повече от следните области: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Производство и изпитване на качествени и безопасни храни;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Поддържане и подобряване на генофонда в растениевъдството и животновъдството за повишаване на потенциала на първичното селскостопанско производство;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на възможностите за развитие на сектора/секторите в които оперира клъстера.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Оценка на методите за трансфер на знания и разпространението на информация сред участниците в клъстера;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Оценка на вида и качеството на споделените съоръжения, които са предвидени в инвестиционния план във връзка със значението за участниците в клъстера и устойчивост на резултатите от използването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 допустимият размер на помощта за периода на прилагане на програмата е  1 500 000 евро и ще бъде в съответствие с нотифицирана държавна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5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5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16.2. са изчислени по методика, при която е  допуснато, че ще има три вида разходи, които произтичат от акта на сътрудничеството и организацията на изпълнението на проекта за сътрудничество на новосъздаден клъстер. Определянето на вида на опростените разходи и 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w:t>
            </w:r>
            <w:r>
              <w:rPr>
                <w:rStyle w:val="DefaultParagraphFont"/>
                <w:rFonts w:ascii="Times New Roman" w:eastAsia="Times New Roman" w:hAnsi="Times New Roman" w:cs="Times New Roman"/>
                <w:i/>
                <w:iCs/>
                <w:szCs w:val="24"/>
              </w:rPr>
              <w:t>Data mining</w:t>
            </w:r>
            <w:r>
              <w:rPr>
                <w:rStyle w:val="DefaultParagraphFont"/>
                <w:rFonts w:ascii="Times New Roman" w:eastAsia="Times New Roman" w:hAnsi="Times New Roman" w:cs="Times New Roman"/>
                <w:szCs w:val="24"/>
              </w:rPr>
              <w:t>) като процес на откриване на смислени корелации, зависимости, повтарящи се образци и тенденции в големи масиви от данни. Този вид извличане на данни посредством предварително формулирани заявки към базите данни събрани от предишни периоди, генерира имплицитно формулиране на не очевидна, предварително известна и полезна информация за използване на допустими, одобрени, прозрачно и точно направени разходи в минали периода за оценка на бъдещите такива. Предложени са три вида разходи, произтичащи от акта на сътрудничество, групирани съгласно т.5 от Guidance document “Co-operation” measure (version:November 2014), а именно: разходи за проучвания; разходи за стимулиране на интерес и разширяване на състава на новосъздадения клъстер; текущи разходи във връзка със сътрудничеството.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гореописания подход, бяха извлечени, статистически обработени и пресметнати средните стойности на релевантни единични дейности по отделни проекти, които са прилагани по подхода ЛИДЕР по Програмата за развитие на селските райони през програмния период 2007 – 2013 г. и на тяхна база са предложени стандартни таблица за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и храните и Държавен фонд „Земеделие“, съгласно чл.62 , пар.2 от регламент 1305/2013.</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на клъстер съгласно чл. 2 параграф 1 буква р) от регламент 1605/2013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Клъстер означава групиране на независими предприятия, включително новосъздадени предприятия, малки, средни и големи предприятия, както и консултативни органи и/или научноизследователски организации, които целят да стимулират икономическата/иновативната дейност чрез утвърждаване на усилено взаимодействие, споделянето на съоръжения и обмена на знания и експертен опит, както и чрез ефективно допринасяне за трансфера на знания, свързването в мрежа и разпространяването на информация сред предприятията в клъстера.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56"/>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Обединение за къса верига на доставки или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Обединение за местен пазар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5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МСП;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Търговци на дребно;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Участието на земеделските стопани е задължително.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Бизнес план за изпълнение на дейностите;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 за популяризиране.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Договор за създаване на обединението.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териториалния обхват на проекта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участниците  в проекта</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5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58"/>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16.4. са изчислени по методика, при която е  допуснато, че ще има три вида разходи, които произтичат от акта на сътрудничеството и организацията на изпълнението на колективен проект за сътрудничество на обединение за къса верига на доставки или обединение за местен пазар. Определянето на вида на опростените разходи и 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w:t>
            </w:r>
            <w:r>
              <w:rPr>
                <w:rStyle w:val="DefaultParagraphFont"/>
                <w:rFonts w:ascii="Times New Roman" w:eastAsia="Times New Roman" w:hAnsi="Times New Roman" w:cs="Times New Roman"/>
                <w:i/>
                <w:iCs/>
                <w:szCs w:val="24"/>
              </w:rPr>
              <w:t>Data mining</w:t>
            </w:r>
            <w:r>
              <w:rPr>
                <w:rStyle w:val="DefaultParagraphFont"/>
                <w:rFonts w:ascii="Times New Roman" w:eastAsia="Times New Roman" w:hAnsi="Times New Roman" w:cs="Times New Roman"/>
                <w:szCs w:val="24"/>
              </w:rPr>
              <w:t>) като процес на откриване на смислени корелации, зависимости, повтарящи се образци и тенденции в големи масиви от данни. Този вид извличане на данни посредством предварително формулирани заявки към базите данни събрани от предишни периоди, генерира имплицитно формулиране на не очевидна, предварително известна и полезна информация за използване на допустими, одобрени, прозрачно и точно направени разходи в минали периода за оценка на бъдещите такива. Предложени са четири вида разходи, произтичащи от акта на сътрудничество, групирани съгласно т.5 от Guidance document “Co-operation” measure (version:November 2014), а именно: разходи за проучвания; разходи за стимулиране на интерес и разширяване на състава на новосъздадения клъстер; текущи разходи във връзка със сътрудничеството и разходи за популяризиране.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гореописания подход, бяха извлечени, статистически обработени и пресметнати средните стойности на релевантни единични дейности по отделни проекти, които са прилагани по подхода ЛИДЕР по Програмата за развитие на селските райони през програмния период 2007 – 2013 г. и на тяхна база са предложени стандартни таблица за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и храните и Държавен фонд „Земеделие“, съгласно чл.62 , пар.2 от регламент 1305/2013.</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 Процедури по подмярка 16.1 относно: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Набиране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Прилагане на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2. Процедури по подмярка 16.2 относно: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Набиране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Цел и обхват на дейностите на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Етапи за изпълнение на проекта за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Прилагане на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Прилагане на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и храните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M19 — Подкрепа за местно развитие по LEADER (ВОМР — водено от общностите местно развитие) (член 35 от Регламент (ЕС) № 1303/2013)</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приоритети на ВОМР са свързани 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Европейския земеделски фонд за развитие на селските райони се прилага само на територията на селски райони.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59"/>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(не са изпълнявали нито подмярка 431-2, нито подмярка 431-1 и мярка 41)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подмярка 431-2 или по подмярка 431-1 и мярка 41) и до 9 месеца за местни общности, не прилагали подхода ЛИДЕР през програмния период 2007 –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6 месеца.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6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Обучение на местни заинтересовани страни;</w:t>
            </w:r>
          </w:p>
          <w:p>
            <w:pPr>
              <w:numPr>
                <w:ilvl w:val="0"/>
                <w:numId w:val="4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Проучвания в съответната територия;</w:t>
            </w:r>
          </w:p>
          <w:p>
            <w:pPr>
              <w:numPr>
                <w:ilvl w:val="0"/>
                <w:numId w:val="46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6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Връзка с друго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По т. А Местни общности, които не са прилагали подхода ЛИДЕР в периода 2007-2013 г. (не са изпълнявали подмярка 431-2 или мярка 41 и подмярка 431-1 на  територията 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програмния период 2007-2013 г. на територия или част от територия, за която се кандидатства, (изпълнявали са подмярка 431-2 или мярка 41 и подмярка 431-1).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6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програмен период 2007 – 2013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програмен период 2007 – 2013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Проучвания и анализи на територията;</w:t>
            </w:r>
          </w:p>
          <w:p>
            <w:pPr>
              <w:numPr>
                <w:ilvl w:val="0"/>
                <w:numId w:val="4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6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местни инициативни групи, финансирани по ПРСР (2007-2013) разходите са допустими при условие на недопускане на свръхкомпенсация и двойно финансиране на едни и същи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по т. Б за подпомагане на малки пилотни проекти:</w:t>
            </w:r>
          </w:p>
          <w:p>
            <w:pPr>
              <w:numPr>
                <w:ilvl w:val="0"/>
                <w:numId w:val="46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6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6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6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Кохерентност на територията;</w:t>
            </w:r>
          </w:p>
          <w:p>
            <w:pPr>
              <w:numPr>
                <w:ilvl w:val="0"/>
                <w:numId w:val="46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местни инициативни групи или общности, прилагали подхода ЛИДЕР през програмния период 2007-2013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6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46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4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4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4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предостави доказателства, че са в обществена полза;</w:t>
            </w:r>
          </w:p>
          <w:p>
            <w:pPr>
              <w:numPr>
                <w:ilvl w:val="0"/>
                <w:numId w:val="46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по т. 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общини в състава на партньорството;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-Население на територията на партньорството;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по т. Б</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 на полза на проекта за местната общност;</w:t>
            </w:r>
          </w:p>
          <w:p>
            <w:pPr>
              <w:numPr>
                <w:ilvl w:val="0"/>
                <w:numId w:val="46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100% от общите допустими разходи;</w:t>
            </w:r>
          </w:p>
          <w:p>
            <w:pPr>
              <w:numPr>
                <w:ilvl w:val="0"/>
                <w:numId w:val="4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програмния период 2007-2013 г.;</w:t>
            </w:r>
          </w:p>
          <w:p>
            <w:pPr>
              <w:numPr>
                <w:ilvl w:val="0"/>
                <w:numId w:val="4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в периода 2007-2013 г.</w:t>
            </w:r>
          </w:p>
          <w:p>
            <w:pPr>
              <w:numPr>
                <w:ilvl w:val="0"/>
                <w:numId w:val="4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Б до левовата равностойност на 15 000 евро за малък пилотен проект.</w:t>
            </w:r>
          </w:p>
          <w:p>
            <w:pPr>
              <w:numPr>
                <w:ilvl w:val="0"/>
                <w:numId w:val="46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67"/>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Инвестиционни разходи съгласно чл. 45 от Регламент (EC) № 1305/2013;</w:t>
            </w:r>
          </w:p>
          <w:p>
            <w:pPr>
              <w:numPr>
                <w:ilvl w:val="0"/>
                <w:numId w:val="4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46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са с постоянен адрес или седалище на територията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се изпълняват на територията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1 000 000 евро (общо за стратегията вкл. с текущите разходи и разходи за популяризиране 1 333 333 евро), а за групи с по-голямо население – до левовата равностойност на 1 500 000 евро (общо за стратегията вкл. с текущите разходи и разходи за популяризиране 2 000 000 евро). Приносът на ЕФРР, ЕСФ и ЕФМДР към стратегиите за местно развитие е определен в нормативния акт за координацията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Максималната стойност на допустимите разходи за един проект, подпомаган от ЕЗФРСР по стратегията за водено от общностите местно развитие не може да надвишава левовата равностойност на 200 000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69"/>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47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47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47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47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47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47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47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47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публикации в медиите;</w:t>
            </w:r>
          </w:p>
          <w:p>
            <w:pPr>
              <w:numPr>
                <w:ilvl w:val="0"/>
                <w:numId w:val="47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47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47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прилагат от МИГ, одобрени от Управляващия орган;</w:t>
            </w:r>
          </w:p>
          <w:p>
            <w:pPr>
              <w:numPr>
                <w:ilvl w:val="0"/>
                <w:numId w:val="47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целят развитието на територии, покрити от стратегии на МИГ;</w:t>
            </w:r>
          </w:p>
          <w:p>
            <w:pPr>
              <w:numPr>
                <w:ilvl w:val="0"/>
                <w:numId w:val="47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47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 на проекта;</w:t>
            </w:r>
          </w:p>
          <w:p>
            <w:pPr>
              <w:numPr>
                <w:ilvl w:val="0"/>
                <w:numId w:val="4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Наличие на ясна обвързаност с целите на СМР;</w:t>
            </w:r>
          </w:p>
          <w:p>
            <w:pPr>
              <w:numPr>
                <w:ilvl w:val="0"/>
                <w:numId w:val="4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 на партньорството;</w:t>
            </w:r>
          </w:p>
          <w:p>
            <w:pPr>
              <w:numPr>
                <w:ilvl w:val="0"/>
                <w:numId w:val="47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75"/>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100 % от разходите.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(Data mining) като процес на откриване на смислени корелации зависимости, повтарящи се образци и тенденции в големи масиви от данни. Този вид извличане на данни за предишен период (2009 - 2014 г.) посредством предварително формулирани заявки към базите данни, събрани по мярка 431 „Управление на МИГ, придобиване на умения и постигане на обществена активност на съответната територия“ от ос 4 ЛИДЕР на ПРСР 2007–2013 г. генерира имплицитно формулирана на неочевидна, предварително известна и полезна информация за използване на допустими, одобрени, прозрачно и точно направени разходи в минали периоди за оценка на бъдещите такива.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Data mining представлява процес на анализ на съхраняваните бази данни в посока на извличане на нова полезна информация чрез разкриване на дълбоките и скрити взаимоотношения между на пръв поглед неизвестни и несвързани една с друга величини. Важна негова особеност е, че той осигурява възможност за обработка на многомерни масиви и извличане на многомерни зависимости, като същевременно автоматично разкрива изключителните ситуации - данни и случаи, не включващи се в общите закономерности. Data mining технологията анализира и разкрива зависимости между различни компоненти и параметри. На тази база са обработени, проверени, анализирани и извлечени статистически обосновани стандартни таблици за опростените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Събрани са и анализирани масиви от данни по мярка 431 за местните общности, които са прилагали подхода ЛИДЕР през програмния период 2007 – 2013 г. В допълнение е събрана допълнителна статистическа информация от следните достоверни източници, в които посочените разходи са надлежно описани и документирани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данни от Национален статистически институт (НСИ) за периода 2011 –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данни от одобрени, изпълнени и отчетени проекти по програмите на структурните фондове на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данни от одобрени, изпълнени и отчетени проекти по програмите на Финансовия механизъм на европейското икономическо пространство 2011 –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гореописаната методика са извлечени, статистически обработени и изчислени средните стойности на релевантни дейности, които са прилагани по подхода ЛИДЕР през програмния период 2007 – 2013 г. и на тяхна база са предложени стандартни таблица за разходите за единица продукт и еднократни суми.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и храните и Държавен фонд „Земеделие“, съгласно чл. 62, пар. 2 от Регламент 1305/2013. Методиката е представена в Приложение № 17 към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47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4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47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47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47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Обявяване на покана за прием на стратегии;</w:t>
            </w:r>
          </w:p>
          <w:p>
            <w:pPr>
              <w:numPr>
                <w:ilvl w:val="0"/>
                <w:numId w:val="4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47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 на постъпилите стратегии.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и храните,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Условия за допустимост</w:t>
            </w:r>
          </w:p>
          <w:p>
            <w:pPr>
              <w:numPr>
                <w:ilvl w:val="0"/>
                <w:numId w:val="47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Липса на припокриване на една и съща територия от различни МИГ;</w:t>
            </w:r>
          </w:p>
          <w:p>
            <w:pPr>
              <w:numPr>
                <w:ilvl w:val="0"/>
                <w:numId w:val="4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Кохерентност на територията;</w:t>
            </w:r>
          </w:p>
          <w:p>
            <w:pPr>
              <w:numPr>
                <w:ilvl w:val="0"/>
                <w:numId w:val="4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4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47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Критерии за избор</w:t>
            </w:r>
          </w:p>
          <w:p>
            <w:pPr>
              <w:numPr>
                <w:ilvl w:val="0"/>
                <w:numId w:val="47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 на партньорството;</w:t>
            </w:r>
          </w:p>
          <w:p>
            <w:pPr>
              <w:numPr>
                <w:ilvl w:val="0"/>
                <w:numId w:val="4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4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 на СМР;</w:t>
            </w:r>
          </w:p>
          <w:p>
            <w:pPr>
              <w:numPr>
                <w:ilvl w:val="0"/>
                <w:numId w:val="47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Капацитет за прилагане на стратегията.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Отговорности на Управляващия/те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sectPr>
          <w:pgMar w:top="900" w:right="900" w:bottom="900" w:left="900" w:header="720" w:footer="720"/>
          <w:cols w:space="720"/>
        </w:sectPr>
      </w:pPr>
    </w:p>
    <w:p>
      <w:pPr>
        <w:pStyle w:val="Heading1"/>
      </w:pPr>
      <w:bookmarkStart w:id="127" w:name="_Toc256000127"/>
      <w:r>
        <w:t>План за оценка</w:t>
      </w:r>
      <w:bookmarkEnd w:id="127"/>
    </w:p>
    <w:p>
      <w:pPr>
        <w:pStyle w:val="Heading2"/>
      </w:pPr>
      <w:bookmarkStart w:id="128" w:name="_Toc256000128"/>
      <w:r>
        <w:t>Цели и задачи</w:t>
      </w:r>
      <w:bookmarkEnd w:id="128"/>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 План за оценки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9.1. Задачи и цели на Плана за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Предназначението на </w:t>
            </w:r>
            <w:r>
              <w:rPr>
                <w:rStyle w:val="DefaultParagraphFont"/>
                <w:rFonts w:ascii="Times New Roman" w:eastAsia="Times New Roman" w:hAnsi="Times New Roman" w:cs="Times New Roman"/>
                <w:b/>
                <w:bCs/>
                <w:szCs w:val="24"/>
              </w:rPr>
              <w:t>Плана за оценка</w:t>
            </w:r>
            <w:r>
              <w:rPr>
                <w:rStyle w:val="DefaultParagraphFont"/>
                <w:rFonts w:ascii="Times New Roman" w:eastAsia="Times New Roman" w:hAnsi="Times New Roman" w:cs="Times New Roman"/>
                <w:szCs w:val="24"/>
              </w:rPr>
              <w:t>:</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29" w:name="_Toc256000129"/>
      <w:r>
        <w:t>Управление и координация</w:t>
      </w:r>
      <w:bookmarkEnd w:id="129"/>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9.2. Управление и координация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остатъчните бюджети по мерките,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0" w:name="_Toc256000130"/>
      <w:r>
        <w:t>Предмет на оценката и дейности</w:t>
      </w:r>
      <w:bookmarkEnd w:id="130"/>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9.3. Теми и дейности за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Темите за оценка в тях включват: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Последваща оценка на ПРСР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 xml:space="preserve">  Тема: </w:t>
            </w:r>
            <w:r>
              <w:rPr>
                <w:rStyle w:val="DefaultParagraphFont"/>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Тема</w:t>
            </w:r>
            <w:r>
              <w:rPr>
                <w:rStyle w:val="DefaultParagraphFont"/>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 xml:space="preserve">Тема: </w:t>
            </w:r>
            <w:r>
              <w:rPr>
                <w:rStyle w:val="DefaultParagraphFont"/>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Тема</w:t>
            </w:r>
            <w:r>
              <w:rPr>
                <w:rStyle w:val="DefaultParagraphFont"/>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pStyle w:val="Heading2"/>
      </w:pPr>
      <w:bookmarkStart w:id="131" w:name="_Toc256000131"/>
      <w:r>
        <w:t>Данни и информация</w:t>
      </w:r>
      <w:bookmarkEnd w:id="131"/>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9.4. Данни и информация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Style w:val="DefaultParagraphFont"/>
                <w:rFonts w:ascii="Times New Roman" w:eastAsia="Times New Roman" w:hAnsi="Times New Roman" w:cs="Times New Roman"/>
                <w:b/>
                <w:bCs/>
                <w:szCs w:val="24"/>
              </w:rPr>
              <w:t xml:space="preserve">информационният модул за наблюдение </w:t>
            </w:r>
            <w:r>
              <w:rPr>
                <w:rStyle w:val="DefaultParagraphFont"/>
                <w:rFonts w:ascii="Times New Roman" w:eastAsia="Times New Roman" w:hAnsi="Times New Roman" w:cs="Times New Roman"/>
                <w:szCs w:val="24"/>
              </w:rPr>
              <w:t>трябва да има следните характеристики: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32" w:name="_Toc256000132"/>
      <w:r>
        <w:t>График</w:t>
      </w:r>
      <w:bookmarkEnd w:id="132"/>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9.5. График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1.Последваща оценка на ПРСР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октомври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октомври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- 31 януари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април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юни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2.Извършване на оценка на ефективността от прилагането на Комуникационния план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януари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януари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февруари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май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юни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3.Оценка на информационните системи за наблюдение и за индикатори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януари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януари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февруари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май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юни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4.Извършване на цялостна оценка на ПРСР (2014-2020) за периода от одобрение на ПРСР до края на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януари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ноември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януари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април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май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5.Оценка на прилагането на финансови инструменти за периода от одобрение на ПРСР (2014-2020) до края на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януари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януари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февруари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май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юни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6.Извършване на оценка на ефективността, ефикасността и въздействието от работата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Style w:val="DefaultParagraphFont"/>
                <w:rFonts w:ascii="Times New Roman" w:eastAsia="Times New Roman" w:hAnsi="Times New Roman" w:cs="Times New Roman"/>
                <w:szCs w:val="24"/>
              </w:rPr>
              <w:t>- 30 януари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януари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февруари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w:t>
            </w:r>
            <w:r>
              <w:rPr>
                <w:rStyle w:val="DefaultParagraphFont"/>
                <w:rFonts w:ascii="Times New Roman" w:eastAsia="Times New Roman" w:hAnsi="Times New Roman" w:cs="Times New Roman"/>
                <w:szCs w:val="24"/>
              </w:rPr>
              <w:t>- 30 май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Предаване на окончателен доклад за оценката </w:t>
            </w:r>
            <w:r>
              <w:rPr>
                <w:rStyle w:val="DefaultParagraphFont"/>
                <w:rFonts w:ascii="Times New Roman" w:eastAsia="Times New Roman" w:hAnsi="Times New Roman" w:cs="Times New Roman"/>
                <w:szCs w:val="24"/>
              </w:rPr>
              <w:t>– 30 юни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7.Извършване на цялостна оценка на ПРСР (2014-2020) за периода от одобрение на ПРСР до края на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Style w:val="DefaultParagraphFont"/>
                <w:rFonts w:ascii="Times New Roman" w:eastAsia="Times New Roman" w:hAnsi="Times New Roman" w:cs="Times New Roman"/>
                <w:szCs w:val="24"/>
              </w:rPr>
              <w:t>- 30 януари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ноември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януари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w:t>
            </w:r>
            <w:r>
              <w:rPr>
                <w:rStyle w:val="DefaultParagraphFont"/>
                <w:rFonts w:ascii="Times New Roman" w:eastAsia="Times New Roman" w:hAnsi="Times New Roman" w:cs="Times New Roman"/>
                <w:szCs w:val="24"/>
              </w:rPr>
              <w:t>- 30 април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Предаване на окончателен доклад за оценката </w:t>
            </w:r>
            <w:r>
              <w:rPr>
                <w:rStyle w:val="DefaultParagraphFont"/>
                <w:rFonts w:ascii="Times New Roman" w:eastAsia="Times New Roman" w:hAnsi="Times New Roman" w:cs="Times New Roman"/>
                <w:szCs w:val="24"/>
              </w:rPr>
              <w:t>– 30 май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8.Предварителна оценка на ПРСР (2021-2027)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Style w:val="DefaultParagraphFont"/>
                <w:rFonts w:ascii="Times New Roman" w:eastAsia="Times New Roman" w:hAnsi="Times New Roman" w:cs="Times New Roman"/>
                <w:szCs w:val="24"/>
              </w:rPr>
              <w:t>- 30 януари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ноември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- 30 април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w:t>
            </w:r>
            <w:r>
              <w:rPr>
                <w:rStyle w:val="DefaultParagraphFont"/>
                <w:rFonts w:ascii="Times New Roman" w:eastAsia="Times New Roman" w:hAnsi="Times New Roman" w:cs="Times New Roman"/>
                <w:szCs w:val="24"/>
              </w:rPr>
              <w:t>– 30 юли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Предаване на окончателен доклад за оценката </w:t>
            </w:r>
            <w:r>
              <w:rPr>
                <w:rStyle w:val="DefaultParagraphFont"/>
                <w:rFonts w:ascii="Times New Roman" w:eastAsia="Times New Roman" w:hAnsi="Times New Roman" w:cs="Times New Roman"/>
                <w:szCs w:val="24"/>
              </w:rPr>
              <w:t>– до одобрение на ПРСР от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pStyle w:val="Heading2"/>
      </w:pPr>
      <w:bookmarkStart w:id="133" w:name="_Toc256000133"/>
      <w:r>
        <w:t>Комуникация</w:t>
      </w:r>
      <w:bookmarkEnd w:id="133"/>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9.6. Комуникации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Интернет – публикуване на констатациите от оценките на Интернет страницата на МЗХ и на Интернет страницата на ПРСР (2014-2020), както и на единния информационен портал http://www.eufunds.bg/</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pStyle w:val="Heading2"/>
      </w:pPr>
      <w:bookmarkStart w:id="134" w:name="_Toc256000134"/>
      <w:r>
        <w:t>Ресурси</w:t>
      </w:r>
      <w:bookmarkEnd w:id="134"/>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9.7.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Човешки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Финансови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ИТ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35" w:name="_Toc256000135"/>
      <w:r>
        <w:t>Финансов план</w:t>
      </w:r>
      <w:bookmarkEnd w:id="135"/>
    </w:p>
    <w:p>
      <w:pPr>
        <w:pStyle w:val="Heading2"/>
      </w:pPr>
      <w:r>
        <w:t xml:space="preserve"> </w:t>
      </w:r>
      <w:bookmarkStart w:id="136" w:name="_Toc256000136"/>
      <w:r>
        <w:t>Годишно участие на ЕЗФРСР в (в евро)</w:t>
      </w:r>
      <w:bookmarkEnd w:id="1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810"/>
        <w:gridCol w:w="1524"/>
        <w:gridCol w:w="1524"/>
        <w:gridCol w:w="1524"/>
        <w:gridCol w:w="1524"/>
        <w:gridCol w:w="1524"/>
        <w:gridCol w:w="1524"/>
        <w:gridCol w:w="1524"/>
        <w:gridCol w:w="1524"/>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C0C0C0"/>
            <w:noWrap w:val="0"/>
            <w:tcMar>
              <w:top w:w="60" w:type="dxa"/>
            </w:tcMar>
            <w:vAlign w:val="top"/>
          </w:tcPr>
          <w:p>
            <w:pPr>
              <w:jc w:val="center"/>
              <w:rPr>
                <w:b/>
                <w:i w:val="0"/>
                <w:sz w:val="20"/>
              </w:rPr>
            </w:pPr>
            <w:r>
              <w:rPr>
                <w:b/>
                <w:i w:val="0"/>
                <w:sz w:val="20"/>
              </w:rPr>
              <w:t>Видове региони и допълнително разпределени средства</w:t>
            </w:r>
          </w:p>
        </w:tc>
        <w:tc>
          <w:tcPr>
            <w:tcW w:w="450" w:type="pct"/>
            <w:shd w:val="clear" w:color="auto" w:fill="C0C0C0"/>
            <w:noWrap w:val="0"/>
            <w:tcMar>
              <w:top w:w="60" w:type="dxa"/>
            </w:tcMar>
            <w:vAlign w:val="top"/>
          </w:tcPr>
          <w:p>
            <w:pPr>
              <w:jc w:val="center"/>
              <w:rPr>
                <w:b/>
                <w:i w:val="0"/>
                <w:sz w:val="20"/>
              </w:rPr>
            </w:pPr>
            <w:r>
              <w:rPr>
                <w:b/>
                <w:i w:val="0"/>
                <w:sz w:val="20"/>
              </w:rPr>
              <w:t>2014</w:t>
            </w:r>
          </w:p>
        </w:tc>
        <w:tc>
          <w:tcPr>
            <w:tcW w:w="450" w:type="pct"/>
            <w:shd w:val="clear" w:color="auto" w:fill="C0C0C0"/>
            <w:noWrap w:val="0"/>
            <w:tcMar>
              <w:top w:w="60" w:type="dxa"/>
            </w:tcMar>
            <w:vAlign w:val="top"/>
          </w:tcPr>
          <w:p>
            <w:pPr>
              <w:jc w:val="center"/>
              <w:rPr>
                <w:b/>
                <w:i w:val="0"/>
                <w:sz w:val="20"/>
              </w:rPr>
            </w:pPr>
            <w:r>
              <w:rPr>
                <w:b/>
                <w:i w:val="0"/>
                <w:sz w:val="20"/>
              </w:rPr>
              <w:t>2015</w:t>
            </w:r>
          </w:p>
        </w:tc>
        <w:tc>
          <w:tcPr>
            <w:tcW w:w="450" w:type="pct"/>
            <w:shd w:val="clear" w:color="auto" w:fill="C0C0C0"/>
            <w:noWrap w:val="0"/>
            <w:tcMar>
              <w:top w:w="60" w:type="dxa"/>
            </w:tcMar>
            <w:vAlign w:val="top"/>
          </w:tcPr>
          <w:p>
            <w:pPr>
              <w:jc w:val="center"/>
              <w:rPr>
                <w:b/>
                <w:i w:val="0"/>
                <w:sz w:val="20"/>
              </w:rPr>
            </w:pPr>
            <w:r>
              <w:rPr>
                <w:b/>
                <w:i w:val="0"/>
                <w:sz w:val="20"/>
              </w:rPr>
              <w:t>2016</w:t>
            </w:r>
          </w:p>
        </w:tc>
        <w:tc>
          <w:tcPr>
            <w:tcW w:w="450" w:type="pct"/>
            <w:shd w:val="clear" w:color="auto" w:fill="C0C0C0"/>
            <w:noWrap w:val="0"/>
            <w:tcMar>
              <w:top w:w="60" w:type="dxa"/>
            </w:tcMar>
            <w:vAlign w:val="top"/>
          </w:tcPr>
          <w:p>
            <w:pPr>
              <w:jc w:val="center"/>
              <w:rPr>
                <w:b/>
                <w:i w:val="0"/>
                <w:sz w:val="20"/>
              </w:rPr>
            </w:pPr>
            <w:r>
              <w:rPr>
                <w:b/>
                <w:i w:val="0"/>
                <w:sz w:val="20"/>
              </w:rPr>
              <w:t>2017</w:t>
            </w:r>
          </w:p>
        </w:tc>
        <w:tc>
          <w:tcPr>
            <w:tcW w:w="450" w:type="pct"/>
            <w:shd w:val="clear" w:color="auto" w:fill="C0C0C0"/>
            <w:noWrap w:val="0"/>
            <w:tcMar>
              <w:top w:w="60" w:type="dxa"/>
            </w:tcMar>
            <w:vAlign w:val="top"/>
          </w:tcPr>
          <w:p>
            <w:pPr>
              <w:jc w:val="center"/>
              <w:rPr>
                <w:b/>
                <w:i w:val="0"/>
                <w:sz w:val="20"/>
              </w:rPr>
            </w:pPr>
            <w:r>
              <w:rPr>
                <w:b/>
                <w:i w:val="0"/>
                <w:sz w:val="20"/>
              </w:rPr>
              <w:t>2018</w:t>
            </w:r>
          </w:p>
        </w:tc>
        <w:tc>
          <w:tcPr>
            <w:tcW w:w="450" w:type="pct"/>
            <w:shd w:val="clear" w:color="auto" w:fill="C0C0C0"/>
            <w:noWrap w:val="0"/>
            <w:tcMar>
              <w:top w:w="60" w:type="dxa"/>
            </w:tcMar>
            <w:vAlign w:val="top"/>
          </w:tcPr>
          <w:p>
            <w:pPr>
              <w:jc w:val="center"/>
              <w:rPr>
                <w:b/>
                <w:i w:val="0"/>
                <w:sz w:val="20"/>
              </w:rPr>
            </w:pPr>
            <w:r>
              <w:rPr>
                <w:b/>
                <w:i w:val="0"/>
                <w:sz w:val="20"/>
              </w:rPr>
              <w:t>2019</w:t>
            </w:r>
          </w:p>
        </w:tc>
        <w:tc>
          <w:tcPr>
            <w:tcW w:w="450" w:type="pct"/>
            <w:shd w:val="clear" w:color="auto" w:fill="C0C0C0"/>
            <w:noWrap w:val="0"/>
            <w:tcMar>
              <w:top w:w="60" w:type="dxa"/>
            </w:tcMar>
            <w:vAlign w:val="top"/>
          </w:tcPr>
          <w:p>
            <w:pPr>
              <w:jc w:val="center"/>
              <w:rPr>
                <w:b/>
                <w:i w:val="0"/>
                <w:sz w:val="20"/>
              </w:rPr>
            </w:pPr>
            <w:r>
              <w:rPr>
                <w:b/>
                <w:i w:val="0"/>
                <w:sz w:val="20"/>
              </w:rPr>
              <w:t>2020</w:t>
            </w:r>
          </w:p>
        </w:tc>
        <w:tc>
          <w:tcPr>
            <w:tcW w:w="450" w:type="pct"/>
            <w:shd w:val="clear" w:color="auto" w:fill="C0C0C0"/>
            <w:noWrap w:val="0"/>
            <w:tcMar>
              <w:top w:w="60" w:type="dxa"/>
            </w:tcMar>
            <w:vAlign w:val="top"/>
          </w:tcPr>
          <w:p>
            <w:pPr>
              <w:jc w:val="center"/>
              <w:rPr>
                <w:b w:val="0"/>
                <w:i w:val="0"/>
                <w:sz w:val="20"/>
              </w:rPr>
            </w:pPr>
            <w:r>
              <w:rPr>
                <w:b/>
                <w:i w:val="0"/>
                <w:sz w:val="20"/>
              </w:rPr>
              <w:t>Total</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502 807 341,00</w:t>
            </w:r>
          </w:p>
        </w:tc>
        <w:tc>
          <w:tcPr>
            <w:tcW w:w="450" w:type="pct"/>
            <w:shd w:val="clear" w:color="auto" w:fill="FFFFFF"/>
            <w:noWrap w:val="0"/>
            <w:tcMar>
              <w:top w:w="60" w:type="dxa"/>
            </w:tcMar>
            <w:vAlign w:val="top"/>
          </w:tcPr>
          <w:p>
            <w:pPr>
              <w:jc w:val="right"/>
              <w:rPr>
                <w:b w:val="0"/>
                <w:i w:val="0"/>
                <w:sz w:val="16"/>
              </w:rPr>
            </w:pPr>
            <w:r>
              <w:rPr>
                <w:b w:val="0"/>
                <w:i w:val="0"/>
                <w:sz w:val="16"/>
              </w:rPr>
              <w:t>502 357 057,00</w:t>
            </w:r>
          </w:p>
        </w:tc>
        <w:tc>
          <w:tcPr>
            <w:tcW w:w="450" w:type="pct"/>
            <w:shd w:val="clear" w:color="auto" w:fill="FFFFFF"/>
            <w:noWrap w:val="0"/>
            <w:tcMar>
              <w:top w:w="60" w:type="dxa"/>
            </w:tcMar>
            <w:vAlign w:val="top"/>
          </w:tcPr>
          <w:p>
            <w:pPr>
              <w:jc w:val="right"/>
              <w:rPr>
                <w:b w:val="0"/>
                <w:i w:val="0"/>
                <w:sz w:val="16"/>
              </w:rPr>
            </w:pPr>
            <w:r>
              <w:rPr>
                <w:b w:val="0"/>
                <w:i w:val="0"/>
                <w:sz w:val="16"/>
              </w:rPr>
              <w:t>334 147 994,00</w:t>
            </w:r>
          </w:p>
        </w:tc>
        <w:tc>
          <w:tcPr>
            <w:tcW w:w="450" w:type="pct"/>
            <w:shd w:val="clear" w:color="auto" w:fill="FFFFFF"/>
            <w:noWrap w:val="0"/>
            <w:tcMar>
              <w:top w:w="60" w:type="dxa"/>
            </w:tcMar>
            <w:vAlign w:val="top"/>
          </w:tcPr>
          <w:p>
            <w:pPr>
              <w:jc w:val="right"/>
              <w:rPr>
                <w:b w:val="0"/>
                <w:i w:val="0"/>
                <w:sz w:val="16"/>
              </w:rPr>
            </w:pPr>
            <w:r>
              <w:rPr>
                <w:b w:val="0"/>
                <w:i w:val="0"/>
                <w:sz w:val="16"/>
              </w:rPr>
              <w:t>333 680 052,00</w:t>
            </w:r>
          </w:p>
        </w:tc>
        <w:tc>
          <w:tcPr>
            <w:tcW w:w="450" w:type="pct"/>
            <w:shd w:val="clear" w:color="auto" w:fill="FFFFFF"/>
            <w:noWrap w:val="0"/>
            <w:tcMar>
              <w:top w:w="60" w:type="dxa"/>
            </w:tcMar>
            <w:vAlign w:val="top"/>
          </w:tcPr>
          <w:p>
            <w:pPr>
              <w:jc w:val="right"/>
              <w:rPr>
                <w:b w:val="0"/>
                <w:i w:val="0"/>
                <w:sz w:val="16"/>
              </w:rPr>
            </w:pPr>
            <w:r>
              <w:rPr>
                <w:b w:val="0"/>
                <w:i w:val="0"/>
                <w:sz w:val="16"/>
              </w:rPr>
              <w:t>333 187 306,00</w:t>
            </w:r>
          </w:p>
        </w:tc>
        <w:tc>
          <w:tcPr>
            <w:tcW w:w="450" w:type="pct"/>
            <w:shd w:val="clear" w:color="auto" w:fill="FFFFFF"/>
            <w:noWrap w:val="0"/>
            <w:tcMar>
              <w:top w:w="60" w:type="dxa"/>
            </w:tcMar>
            <w:vAlign w:val="top"/>
          </w:tcPr>
          <w:p>
            <w:pPr>
              <w:jc w:val="right"/>
              <w:rPr>
                <w:b/>
                <w:i w:val="0"/>
                <w:sz w:val="16"/>
              </w:rPr>
            </w:pPr>
            <w:r>
              <w:rPr>
                <w:b w:val="0"/>
                <w:i w:val="0"/>
                <w:sz w:val="16"/>
              </w:rPr>
              <w:t>332 604 216,00</w:t>
            </w:r>
          </w:p>
        </w:tc>
        <w:tc>
          <w:tcPr>
            <w:tcW w:w="450" w:type="pct"/>
            <w:shd w:val="clear" w:color="auto" w:fill="FFFFFF"/>
            <w:noWrap w:val="0"/>
            <w:tcMar>
              <w:top w:w="60" w:type="dxa"/>
            </w:tcMar>
            <w:vAlign w:val="top"/>
          </w:tcPr>
          <w:p>
            <w:pPr>
              <w:jc w:val="right"/>
              <w:rPr>
                <w:b w:val="0"/>
                <w:i w:val="0"/>
                <w:sz w:val="16"/>
              </w:rPr>
            </w:pPr>
            <w:r>
              <w:rPr>
                <w:b/>
                <w:i w:val="0"/>
                <w:sz w:val="16"/>
              </w:rPr>
              <w:t>2 338 783 966,00</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2 663 000,00</w:t>
            </w:r>
          </w:p>
        </w:tc>
        <w:tc>
          <w:tcPr>
            <w:tcW w:w="450" w:type="pct"/>
            <w:shd w:val="clear" w:color="auto" w:fill="FFFFFF"/>
            <w:noWrap w:val="0"/>
            <w:tcMar>
              <w:top w:w="60" w:type="dxa"/>
            </w:tcMar>
            <w:vAlign w:val="top"/>
          </w:tcPr>
          <w:p>
            <w:pPr>
              <w:jc w:val="right"/>
              <w:rPr>
                <w:b w:val="0"/>
                <w:i w:val="0"/>
                <w:sz w:val="16"/>
              </w:rPr>
            </w:pPr>
            <w:r>
              <w:rPr>
                <w:b w:val="0"/>
                <w:i w:val="0"/>
                <w:sz w:val="16"/>
              </w:rPr>
              <w:t>6 262 000,00</w:t>
            </w:r>
          </w:p>
        </w:tc>
        <w:tc>
          <w:tcPr>
            <w:tcW w:w="450" w:type="pct"/>
            <w:shd w:val="clear" w:color="auto" w:fill="FFFFFF"/>
            <w:noWrap w:val="0"/>
            <w:tcMar>
              <w:top w:w="60" w:type="dxa"/>
            </w:tcMar>
            <w:vAlign w:val="top"/>
          </w:tcPr>
          <w:p>
            <w:pPr>
              <w:jc w:val="right"/>
              <w:rPr>
                <w:b w:val="0"/>
                <w:i w:val="0"/>
                <w:sz w:val="16"/>
              </w:rPr>
            </w:pPr>
            <w:r>
              <w:rPr>
                <w:b w:val="0"/>
                <w:i w:val="0"/>
                <w:sz w:val="16"/>
              </w:rPr>
              <w:t>6 286 000,00</w:t>
            </w:r>
          </w:p>
        </w:tc>
        <w:tc>
          <w:tcPr>
            <w:tcW w:w="450" w:type="pct"/>
            <w:shd w:val="clear" w:color="auto" w:fill="FFFFFF"/>
            <w:noWrap w:val="0"/>
            <w:tcMar>
              <w:top w:w="60" w:type="dxa"/>
            </w:tcMar>
            <w:vAlign w:val="top"/>
          </w:tcPr>
          <w:p>
            <w:pPr>
              <w:jc w:val="right"/>
              <w:rPr>
                <w:b w:val="0"/>
                <w:i w:val="0"/>
                <w:sz w:val="16"/>
              </w:rPr>
            </w:pPr>
            <w:r>
              <w:rPr>
                <w:b w:val="0"/>
                <w:i w:val="0"/>
                <w:sz w:val="16"/>
              </w:rPr>
              <w:t>6 336 000,00</w:t>
            </w:r>
          </w:p>
        </w:tc>
        <w:tc>
          <w:tcPr>
            <w:tcW w:w="450" w:type="pct"/>
            <w:shd w:val="clear" w:color="auto" w:fill="FFFFFF"/>
            <w:noWrap w:val="0"/>
            <w:tcMar>
              <w:top w:w="60" w:type="dxa"/>
            </w:tcMar>
            <w:vAlign w:val="top"/>
          </w:tcPr>
          <w:p>
            <w:pPr>
              <w:jc w:val="right"/>
              <w:rPr>
                <w:b/>
                <w:i w:val="0"/>
                <w:sz w:val="16"/>
              </w:rPr>
            </w:pPr>
            <w:r>
              <w:rPr>
                <w:b w:val="0"/>
                <w:i w:val="0"/>
                <w:sz w:val="16"/>
              </w:rPr>
              <w:t>6 386 000,00</w:t>
            </w:r>
          </w:p>
        </w:tc>
        <w:tc>
          <w:tcPr>
            <w:tcW w:w="450" w:type="pct"/>
            <w:shd w:val="clear" w:color="auto" w:fill="FFFFFF"/>
            <w:noWrap w:val="0"/>
            <w:tcMar>
              <w:top w:w="60" w:type="dxa"/>
            </w:tcMar>
            <w:vAlign w:val="top"/>
          </w:tcPr>
          <w:p>
            <w:pPr>
              <w:jc w:val="right"/>
              <w:rPr>
                <w:b/>
                <w:i w:val="0"/>
                <w:sz w:val="16"/>
              </w:rPr>
            </w:pPr>
            <w:r>
              <w:rPr>
                <w:b/>
                <w:i w:val="0"/>
                <w:sz w:val="16"/>
              </w:rPr>
              <w:t>27 933 000,00</w:t>
            </w:r>
          </w:p>
        </w:tc>
      </w:tr>
      <w:tr>
        <w:tblPrEx>
          <w:tblW w:w="5000" w:type="pct"/>
          <w:tblCellMar>
            <w:left w:w="108" w:type="dxa"/>
            <w:right w:w="108" w:type="dxa"/>
          </w:tblCellMar>
        </w:tblPrEx>
        <w:tc>
          <w:tcPr>
            <w:tcW w:w="450" w:type="pct"/>
            <w:shd w:val="clear" w:color="auto" w:fill="C0C0C0"/>
            <w:noWrap w:val="0"/>
            <w:tcMar>
              <w:top w:w="60" w:type="dxa"/>
            </w:tcMar>
            <w:vAlign w:val="top"/>
          </w:tcPr>
          <w:p>
            <w:pPr>
              <w:jc w:val="left"/>
              <w:rPr>
                <w:b/>
                <w:i w:val="0"/>
                <w:sz w:val="16"/>
              </w:rPr>
            </w:pPr>
            <w:r>
              <w:rPr>
                <w:b/>
                <w:i w:val="0"/>
                <w:sz w:val="16"/>
              </w:rPr>
              <w:t>Общо</w:t>
            </w:r>
          </w:p>
        </w:tc>
        <w:tc>
          <w:tcPr>
            <w:tcW w:w="450" w:type="pct"/>
            <w:shd w:val="clear" w:color="auto" w:fill="C0C0C0"/>
            <w:noWrap w:val="0"/>
            <w:tcMar>
              <w:top w:w="60" w:type="dxa"/>
            </w:tcMar>
            <w:vAlign w:val="top"/>
          </w:tcPr>
          <w:p>
            <w:pPr>
              <w:jc w:val="right"/>
              <w:rPr>
                <w:b/>
                <w:i w:val="0"/>
                <w:sz w:val="16"/>
              </w:rPr>
            </w:pPr>
            <w:r>
              <w:rPr>
                <w:b/>
                <w:i w:val="0"/>
                <w:sz w:val="16"/>
              </w:rPr>
              <w:t>0,00</w:t>
            </w:r>
          </w:p>
        </w:tc>
        <w:tc>
          <w:tcPr>
            <w:tcW w:w="450" w:type="pct"/>
            <w:shd w:val="clear" w:color="auto" w:fill="C0C0C0"/>
            <w:noWrap w:val="0"/>
            <w:tcMar>
              <w:top w:w="60" w:type="dxa"/>
            </w:tcMar>
            <w:vAlign w:val="top"/>
          </w:tcPr>
          <w:p>
            <w:pPr>
              <w:jc w:val="right"/>
              <w:rPr>
                <w:b/>
                <w:i w:val="0"/>
                <w:sz w:val="16"/>
              </w:rPr>
            </w:pPr>
            <w:r>
              <w:rPr>
                <w:b/>
                <w:i w:val="0"/>
                <w:sz w:val="16"/>
              </w:rPr>
              <w:t>502 807 341,00</w:t>
            </w:r>
          </w:p>
        </w:tc>
        <w:tc>
          <w:tcPr>
            <w:tcW w:w="450" w:type="pct"/>
            <w:shd w:val="clear" w:color="auto" w:fill="C0C0C0"/>
            <w:noWrap w:val="0"/>
            <w:tcMar>
              <w:top w:w="60" w:type="dxa"/>
            </w:tcMar>
            <w:vAlign w:val="top"/>
          </w:tcPr>
          <w:p>
            <w:pPr>
              <w:jc w:val="right"/>
              <w:rPr>
                <w:b/>
                <w:i w:val="0"/>
                <w:sz w:val="16"/>
              </w:rPr>
            </w:pPr>
            <w:r>
              <w:rPr>
                <w:b/>
                <w:i w:val="0"/>
                <w:sz w:val="16"/>
              </w:rPr>
              <w:t>505 020 057,00</w:t>
            </w:r>
          </w:p>
        </w:tc>
        <w:tc>
          <w:tcPr>
            <w:tcW w:w="450" w:type="pct"/>
            <w:shd w:val="clear" w:color="auto" w:fill="C0C0C0"/>
            <w:noWrap w:val="0"/>
            <w:tcMar>
              <w:top w:w="60" w:type="dxa"/>
            </w:tcMar>
            <w:vAlign w:val="top"/>
          </w:tcPr>
          <w:p>
            <w:pPr>
              <w:jc w:val="right"/>
              <w:rPr>
                <w:b/>
                <w:i w:val="0"/>
                <w:sz w:val="16"/>
              </w:rPr>
            </w:pPr>
            <w:r>
              <w:rPr>
                <w:b/>
                <w:i w:val="0"/>
                <w:sz w:val="16"/>
              </w:rPr>
              <w:t>340 409 994,00</w:t>
            </w:r>
          </w:p>
        </w:tc>
        <w:tc>
          <w:tcPr>
            <w:tcW w:w="450" w:type="pct"/>
            <w:shd w:val="clear" w:color="auto" w:fill="C0C0C0"/>
            <w:noWrap w:val="0"/>
            <w:tcMar>
              <w:top w:w="60" w:type="dxa"/>
            </w:tcMar>
            <w:vAlign w:val="top"/>
          </w:tcPr>
          <w:p>
            <w:pPr>
              <w:jc w:val="right"/>
              <w:rPr>
                <w:b/>
                <w:i w:val="0"/>
                <w:sz w:val="16"/>
              </w:rPr>
            </w:pPr>
            <w:r>
              <w:rPr>
                <w:b/>
                <w:i w:val="0"/>
                <w:sz w:val="16"/>
              </w:rPr>
              <w:t>339 966 052,00</w:t>
            </w:r>
          </w:p>
        </w:tc>
        <w:tc>
          <w:tcPr>
            <w:tcW w:w="450" w:type="pct"/>
            <w:shd w:val="clear" w:color="auto" w:fill="C0C0C0"/>
            <w:noWrap w:val="0"/>
            <w:tcMar>
              <w:top w:w="60" w:type="dxa"/>
            </w:tcMar>
            <w:vAlign w:val="top"/>
          </w:tcPr>
          <w:p>
            <w:pPr>
              <w:jc w:val="right"/>
              <w:rPr>
                <w:b/>
                <w:i w:val="0"/>
                <w:sz w:val="16"/>
              </w:rPr>
            </w:pPr>
            <w:r>
              <w:rPr>
                <w:b/>
                <w:i w:val="0"/>
                <w:sz w:val="16"/>
              </w:rPr>
              <w:t>339 523 306,00</w:t>
            </w:r>
          </w:p>
        </w:tc>
        <w:tc>
          <w:tcPr>
            <w:tcW w:w="450" w:type="pct"/>
            <w:shd w:val="clear" w:color="auto" w:fill="C0C0C0"/>
            <w:noWrap w:val="0"/>
            <w:tcMar>
              <w:top w:w="60" w:type="dxa"/>
            </w:tcMar>
            <w:vAlign w:val="top"/>
          </w:tcPr>
          <w:p>
            <w:pPr>
              <w:jc w:val="right"/>
              <w:rPr>
                <w:b/>
                <w:i w:val="0"/>
                <w:sz w:val="16"/>
              </w:rPr>
            </w:pPr>
            <w:r>
              <w:rPr>
                <w:b/>
                <w:i w:val="0"/>
                <w:sz w:val="16"/>
              </w:rPr>
              <w:t>338 990 216,00</w:t>
            </w:r>
          </w:p>
        </w:tc>
        <w:tc>
          <w:tcPr>
            <w:tcW w:w="450" w:type="pct"/>
            <w:shd w:val="clear" w:color="auto" w:fill="C0C0C0"/>
            <w:noWrap w:val="0"/>
            <w:tcMar>
              <w:top w:w="60" w:type="dxa"/>
            </w:tcMar>
            <w:vAlign w:val="top"/>
          </w:tcPr>
          <w:p>
            <w:pPr>
              <w:jc w:val="right"/>
              <w:rPr>
                <w:b/>
                <w:i w:val="0"/>
                <w:sz w:val="16"/>
              </w:rPr>
            </w:pPr>
            <w:r>
              <w:rPr>
                <w:b/>
                <w:i w:val="0"/>
                <w:sz w:val="16"/>
              </w:rPr>
              <w:t>2 366 716 966,00</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450" w:type="pct"/>
            <w:shd w:val="clear" w:color="auto" w:fill="FFFFFF"/>
            <w:noWrap w:val="0"/>
            <w:tcMar>
              <w:top w:w="60" w:type="dxa"/>
            </w:tcMar>
            <w:vAlign w:val="top"/>
          </w:tcPr>
          <w:p>
            <w:pPr>
              <w:jc w:val="right"/>
              <w:rPr>
                <w:b/>
                <w:i w:val="0"/>
                <w:sz w:val="16"/>
              </w:rPr>
            </w:pPr>
            <w:r>
              <w:rPr>
                <w:b/>
                <w:i w:val="0"/>
                <w:sz w:val="16"/>
              </w:rPr>
              <w:t>0,00</w:t>
            </w:r>
          </w:p>
        </w:tc>
        <w:tc>
          <w:tcPr>
            <w:tcW w:w="450" w:type="pct"/>
            <w:shd w:val="clear" w:color="auto" w:fill="FFFFFF"/>
            <w:noWrap w:val="0"/>
            <w:tcMar>
              <w:top w:w="60" w:type="dxa"/>
            </w:tcMar>
            <w:vAlign w:val="top"/>
          </w:tcPr>
          <w:p>
            <w:pPr>
              <w:jc w:val="right"/>
              <w:rPr>
                <w:b/>
                <w:i w:val="0"/>
                <w:sz w:val="16"/>
              </w:rPr>
            </w:pPr>
            <w:r>
              <w:rPr>
                <w:b/>
                <w:i w:val="0"/>
                <w:sz w:val="16"/>
              </w:rPr>
              <w:t>30 168 440,46</w:t>
            </w:r>
          </w:p>
        </w:tc>
        <w:tc>
          <w:tcPr>
            <w:tcW w:w="450" w:type="pct"/>
            <w:shd w:val="clear" w:color="auto" w:fill="FFFFFF"/>
            <w:noWrap w:val="0"/>
            <w:tcMar>
              <w:top w:w="60" w:type="dxa"/>
            </w:tcMar>
            <w:vAlign w:val="top"/>
          </w:tcPr>
          <w:p>
            <w:pPr>
              <w:jc w:val="right"/>
              <w:rPr>
                <w:b/>
                <w:i w:val="0"/>
                <w:sz w:val="16"/>
              </w:rPr>
            </w:pPr>
            <w:r>
              <w:rPr>
                <w:b/>
                <w:i w:val="0"/>
                <w:sz w:val="16"/>
              </w:rPr>
              <w:t>30 141 423,42</w:t>
            </w:r>
          </w:p>
        </w:tc>
        <w:tc>
          <w:tcPr>
            <w:tcW w:w="450" w:type="pct"/>
            <w:shd w:val="clear" w:color="auto" w:fill="FFFFFF"/>
            <w:noWrap w:val="0"/>
            <w:tcMar>
              <w:top w:w="60" w:type="dxa"/>
            </w:tcMar>
            <w:vAlign w:val="top"/>
          </w:tcPr>
          <w:p>
            <w:pPr>
              <w:jc w:val="right"/>
              <w:rPr>
                <w:b/>
                <w:i w:val="0"/>
                <w:sz w:val="16"/>
              </w:rPr>
            </w:pPr>
            <w:r>
              <w:rPr>
                <w:b/>
                <w:i w:val="0"/>
                <w:sz w:val="16"/>
              </w:rPr>
              <w:t>20 048 879,64</w:t>
            </w:r>
          </w:p>
        </w:tc>
        <w:tc>
          <w:tcPr>
            <w:tcW w:w="450" w:type="pct"/>
            <w:shd w:val="clear" w:color="auto" w:fill="FFFFFF"/>
            <w:noWrap w:val="0"/>
            <w:tcMar>
              <w:top w:w="60" w:type="dxa"/>
            </w:tcMar>
            <w:vAlign w:val="top"/>
          </w:tcPr>
          <w:p>
            <w:pPr>
              <w:jc w:val="right"/>
              <w:rPr>
                <w:b/>
                <w:i w:val="0"/>
                <w:sz w:val="16"/>
              </w:rPr>
            </w:pPr>
            <w:r>
              <w:rPr>
                <w:b/>
                <w:i w:val="0"/>
                <w:sz w:val="16"/>
              </w:rPr>
              <w:t>20 020 803,12</w:t>
            </w:r>
          </w:p>
        </w:tc>
        <w:tc>
          <w:tcPr>
            <w:tcW w:w="450" w:type="pct"/>
            <w:shd w:val="clear" w:color="auto" w:fill="FFFFFF"/>
            <w:noWrap w:val="0"/>
            <w:tcMar>
              <w:top w:w="60" w:type="dxa"/>
            </w:tcMar>
            <w:vAlign w:val="top"/>
          </w:tcPr>
          <w:p>
            <w:pPr>
              <w:jc w:val="right"/>
              <w:rPr>
                <w:b/>
                <w:i w:val="0"/>
                <w:sz w:val="16"/>
              </w:rPr>
            </w:pPr>
            <w:r>
              <w:rPr>
                <w:b/>
                <w:i w:val="0"/>
                <w:sz w:val="16"/>
              </w:rPr>
              <w:t>19 991 238,36</w:t>
            </w:r>
          </w:p>
        </w:tc>
        <w:tc>
          <w:tcPr>
            <w:tcW w:w="450" w:type="pct"/>
            <w:shd w:val="clear" w:color="auto" w:fill="FFFFFF"/>
            <w:noWrap w:val="0"/>
            <w:tcMar>
              <w:top w:w="60" w:type="dxa"/>
            </w:tcMar>
            <w:vAlign w:val="top"/>
          </w:tcPr>
          <w:p>
            <w:pPr>
              <w:jc w:val="right"/>
              <w:rPr>
                <w:b/>
                <w:i w:val="0"/>
                <w:sz w:val="16"/>
              </w:rPr>
            </w:pPr>
            <w:r>
              <w:rPr>
                <w:b/>
                <w:i w:val="0"/>
                <w:sz w:val="16"/>
              </w:rPr>
              <w:t>19 956 252,96</w:t>
            </w:r>
          </w:p>
        </w:tc>
        <w:tc>
          <w:tcPr>
            <w:tcW w:w="450" w:type="pct"/>
            <w:shd w:val="clear" w:color="auto" w:fill="FFFFFF"/>
            <w:noWrap w:val="0"/>
            <w:tcMar>
              <w:top w:w="60" w:type="dxa"/>
            </w:tcMar>
            <w:vAlign w:val="top"/>
          </w:tcPr>
          <w:p>
            <w:pPr>
              <w:jc w:val="right"/>
              <w:rPr>
                <w:b w:val="0"/>
                <w:i w:val="0"/>
                <w:sz w:val="16"/>
              </w:rPr>
            </w:pPr>
            <w:r>
              <w:rPr>
                <w:b/>
                <w:i w:val="0"/>
                <w:sz w:val="16"/>
              </w:rPr>
              <w:t>140 327 037,96</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предвидена за цели във връзка с изменението на климата</w:t>
            </w:r>
          </w:p>
        </w:tc>
        <w:tc>
          <w:tcPr>
            <w:tcW w:w="1250" w:type="pct"/>
            <w:shd w:val="clear" w:color="auto" w:fill="FFFFFF"/>
            <w:noWrap w:val="0"/>
            <w:tcMar>
              <w:top w:w="60" w:type="dxa"/>
            </w:tcMar>
            <w:vAlign w:val="top"/>
          </w:tcPr>
          <w:p>
            <w:pPr>
              <w:jc w:val="right"/>
              <w:rPr>
                <w:b w:val="0"/>
                <w:i w:val="0"/>
                <w:sz w:val="16"/>
              </w:rPr>
            </w:pPr>
            <w:r>
              <w:rPr>
                <w:b/>
                <w:i w:val="0"/>
                <w:sz w:val="16"/>
              </w:rPr>
              <w:t>1 302 408 594,20</w:t>
            </w:r>
          </w:p>
        </w:tc>
      </w:tr>
    </w:tbl>
    <w:p>
      <w:pPr>
        <w:rPr>
          <w:b/>
          <w:i w:val="0"/>
        </w:rPr>
        <w:sectPr>
          <w:pgSz w:w="15840" w:h="12240" w:orient="landscape"/>
          <w:pgMar w:top="900" w:right="900" w:bottom="900" w:left="900" w:header="720" w:footer="720"/>
          <w:cols w:space="720"/>
        </w:sectPr>
      </w:pPr>
    </w:p>
    <w:p>
      <w:pPr>
        <w:pStyle w:val="Heading2"/>
      </w:pPr>
      <w:r>
        <w:t xml:space="preserve"> </w:t>
      </w:r>
      <w:bookmarkStart w:id="137" w:name="_Toc256000137"/>
      <w:r>
        <w:t>Единно процентно участие на ЕЗФРСР за всички мерки с разбивка по вид регион, съгласно посоченото в член 59, параграф 3 от Регламент (ЕС) № 1305/2013</w:t>
      </w:r>
      <w:bookmarkEnd w:id="1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9814"/>
        <w:gridCol w:w="1402"/>
        <w:gridCol w:w="1402"/>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от ЕЗФРСР за периода 2014 — 2020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от ЕЗФРСР за периода 2014 — 2020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38" w:name="_Toc256000138"/>
      <w:r>
        <w:rPr>
          <w:b/>
        </w:rPr>
        <w:t>Разбивката по мярка или вид операция, с конкретния размер на процентното участие на ЕЗФРСР (в евро за целия период 2014 — 2020 г.)</w:t>
      </w:r>
      <w:bookmarkEnd w:id="138"/>
    </w:p>
    <w:p>
      <w:pPr>
        <w:pStyle w:val="Heading3"/>
        <w:jc w:val="left"/>
        <w:rPr>
          <w:b w:val="0"/>
        </w:rPr>
      </w:pPr>
      <w:bookmarkStart w:id="139" w:name="_Toc256000139"/>
      <w:r>
        <w:rPr>
          <w:b w:val="0"/>
        </w:rPr>
        <w:t>М01 — Трансфер на знания и действия за осведомяване (член 14)</w:t>
      </w:r>
      <w:bookmarkEnd w:id="13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4 500 000,00 (2A)</w:t>
            </w:r>
          </w:p>
          <w:p>
            <w:pPr>
              <w:jc w:val="right"/>
              <w:rPr>
                <w:b w:val="0"/>
                <w:sz w:val="16"/>
              </w:rPr>
            </w:pPr>
            <w:r>
              <w:rPr>
                <w:b w:val="0"/>
                <w:sz w:val="16"/>
              </w:rPr>
              <w:t>1 800 000,00 (2B)</w:t>
            </w:r>
          </w:p>
          <w:p>
            <w:pPr>
              <w:jc w:val="right"/>
              <w:rPr>
                <w:b w:val="0"/>
                <w:sz w:val="16"/>
              </w:rPr>
            </w:pPr>
            <w:r>
              <w:rPr>
                <w:b w:val="0"/>
                <w:sz w:val="16"/>
              </w:rPr>
              <w:t>180 000,00 (3A)</w:t>
            </w:r>
          </w:p>
          <w:p>
            <w:pPr>
              <w:jc w:val="right"/>
              <w:rPr>
                <w:b w:val="0"/>
                <w:sz w:val="16"/>
              </w:rPr>
            </w:pPr>
            <w:r>
              <w:rPr>
                <w:b w:val="0"/>
                <w:sz w:val="16"/>
              </w:rPr>
              <w:t>180 000,00 (3B)</w:t>
            </w:r>
          </w:p>
          <w:p>
            <w:pPr>
              <w:jc w:val="right"/>
              <w:rPr>
                <w:b w:val="0"/>
                <w:sz w:val="16"/>
              </w:rPr>
            </w:pPr>
            <w:r>
              <w:rPr>
                <w:b w:val="0"/>
                <w:sz w:val="16"/>
              </w:rPr>
              <w:t>5 310 000,00 (P4)</w:t>
            </w:r>
          </w:p>
          <w:p>
            <w:pPr>
              <w:jc w:val="right"/>
              <w:rPr>
                <w:b w:val="0"/>
                <w:sz w:val="16"/>
              </w:rPr>
            </w:pPr>
            <w:r>
              <w:rPr>
                <w:b w:val="0"/>
                <w:sz w:val="16"/>
              </w:rPr>
              <w:t>3 600 000,00 (5A)</w:t>
            </w:r>
          </w:p>
          <w:p>
            <w:pPr>
              <w:jc w:val="right"/>
              <w:rPr>
                <w:b w:val="0"/>
                <w:sz w:val="16"/>
              </w:rPr>
            </w:pPr>
            <w:r>
              <w:rPr>
                <w:b w:val="0"/>
                <w:sz w:val="16"/>
              </w:rPr>
              <w:t>2 295 000,00 (5B)</w:t>
            </w:r>
          </w:p>
          <w:p>
            <w:pPr>
              <w:jc w:val="right"/>
              <w:rPr>
                <w:b w:val="0"/>
                <w:sz w:val="16"/>
              </w:rPr>
            </w:pPr>
            <w:r>
              <w:rPr>
                <w:b w:val="0"/>
                <w:sz w:val="16"/>
              </w:rPr>
              <w:t>495 000,00 (5C)</w:t>
            </w:r>
          </w:p>
          <w:p>
            <w:pPr>
              <w:jc w:val="right"/>
              <w:rPr>
                <w:b w:val="0"/>
                <w:sz w:val="16"/>
              </w:rPr>
            </w:pPr>
            <w:r>
              <w:rPr>
                <w:b w:val="0"/>
                <w:sz w:val="16"/>
              </w:rPr>
              <w:t>3 325 136,00 (5D)</w:t>
            </w:r>
          </w:p>
          <w:p>
            <w:pPr>
              <w:jc w:val="right"/>
              <w:rPr>
                <w:b w:val="0"/>
                <w:sz w:val="16"/>
              </w:rPr>
            </w:pPr>
            <w:r>
              <w:rPr>
                <w:b w:val="0"/>
                <w:sz w:val="16"/>
              </w:rPr>
              <w:t>1 170 000,00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22 855 136,00</w:t>
            </w:r>
          </w:p>
        </w:tc>
      </w:tr>
    </w:tbl>
    <w:p>
      <w:pPr>
        <w:pStyle w:val="Heading3"/>
        <w:jc w:val="left"/>
        <w:rPr>
          <w:b w:val="0"/>
        </w:rPr>
      </w:pPr>
      <w:r>
        <w:rPr>
          <w:b/>
        </w:rPr>
        <w:br w:type="page"/>
      </w:r>
      <w:bookmarkStart w:id="140" w:name="_Toc256000140"/>
      <w:r>
        <w:rPr>
          <w:b w:val="0"/>
        </w:rPr>
        <w:t>М02 —  Консултантски услуги, услуги по управление на стопанство и услуги по заместване в стопанство (член 15)</w:t>
      </w:r>
      <w:bookmarkEnd w:id="1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12 431 250,00 (2A)</w:t>
            </w:r>
          </w:p>
          <w:p>
            <w:pPr>
              <w:jc w:val="right"/>
              <w:rPr>
                <w:b w:val="0"/>
                <w:sz w:val="16"/>
              </w:rPr>
            </w:pPr>
            <w:r>
              <w:rPr>
                <w:b w:val="0"/>
                <w:sz w:val="16"/>
              </w:rPr>
              <w:t>1 148 957,00 (2B)</w:t>
            </w:r>
          </w:p>
          <w:p>
            <w:pPr>
              <w:jc w:val="right"/>
              <w:rPr>
                <w:b w:val="0"/>
                <w:sz w:val="16"/>
              </w:rPr>
            </w:pPr>
            <w:r>
              <w:rPr>
                <w:b w:val="0"/>
                <w:sz w:val="16"/>
              </w:rPr>
              <w:t>836 400,00 (3A)</w:t>
            </w:r>
          </w:p>
          <w:p>
            <w:pPr>
              <w:jc w:val="right"/>
              <w:rPr>
                <w:b w:val="0"/>
                <w:sz w:val="16"/>
              </w:rPr>
            </w:pPr>
            <w:r>
              <w:rPr>
                <w:b w:val="0"/>
                <w:sz w:val="16"/>
              </w:rPr>
              <w:t>127 500,00 (3B)</w:t>
            </w:r>
          </w:p>
          <w:p>
            <w:pPr>
              <w:jc w:val="right"/>
              <w:rPr>
                <w:b w:val="0"/>
                <w:sz w:val="16"/>
              </w:rPr>
            </w:pPr>
            <w:r>
              <w:rPr>
                <w:b w:val="0"/>
                <w:sz w:val="16"/>
              </w:rPr>
              <w:t>1 126 520,00 (P4)</w:t>
            </w:r>
          </w:p>
          <w:p>
            <w:pPr>
              <w:jc w:val="right"/>
              <w:rPr>
                <w:b w:val="0"/>
                <w:sz w:val="16"/>
              </w:rPr>
            </w:pPr>
            <w:r>
              <w:rPr>
                <w:b w:val="0"/>
                <w:sz w:val="16"/>
              </w:rPr>
              <w:t>178 500,00 (5A)</w:t>
            </w:r>
          </w:p>
          <w:p>
            <w:pPr>
              <w:jc w:val="right"/>
              <w:rPr>
                <w:b w:val="0"/>
                <w:sz w:val="16"/>
              </w:rPr>
            </w:pPr>
            <w:r>
              <w:rPr>
                <w:b w:val="0"/>
                <w:sz w:val="16"/>
              </w:rPr>
              <w:t>397 035,00 (5B)</w:t>
            </w:r>
          </w:p>
          <w:p>
            <w:pPr>
              <w:jc w:val="right"/>
              <w:rPr>
                <w:b w:val="0"/>
                <w:sz w:val="16"/>
              </w:rPr>
            </w:pPr>
            <w:r>
              <w:rPr>
                <w:b w:val="0"/>
                <w:sz w:val="16"/>
              </w:rPr>
              <w:t>183 222,00 (5C)</w:t>
            </w:r>
          </w:p>
          <w:p>
            <w:pPr>
              <w:jc w:val="right"/>
              <w:rPr>
                <w:b w:val="0"/>
                <w:sz w:val="16"/>
              </w:rPr>
            </w:pPr>
            <w:r>
              <w:rPr>
                <w:b w:val="0"/>
                <w:sz w:val="16"/>
              </w:rPr>
              <w:t>243 015,00 (5D)</w:t>
            </w:r>
          </w:p>
          <w:p>
            <w:pPr>
              <w:jc w:val="right"/>
              <w:rPr>
                <w:b w:val="0"/>
                <w:sz w:val="16"/>
              </w:rPr>
            </w:pPr>
            <w:r>
              <w:rPr>
                <w:b w:val="0"/>
                <w:sz w:val="16"/>
              </w:rPr>
              <w:t>235 875,00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16 908 274,00</w:t>
            </w:r>
          </w:p>
        </w:tc>
      </w:tr>
    </w:tbl>
    <w:p>
      <w:pPr>
        <w:pStyle w:val="Heading3"/>
        <w:jc w:val="left"/>
        <w:rPr>
          <w:b w:val="0"/>
        </w:rPr>
      </w:pPr>
      <w:r>
        <w:rPr>
          <w:b/>
        </w:rPr>
        <w:br w:type="page"/>
      </w:r>
      <w:bookmarkStart w:id="141" w:name="_Toc256000141"/>
      <w:r>
        <w:rPr>
          <w:b w:val="0"/>
        </w:rPr>
        <w:t>M04 — Инвестиции в материални активи (член 17)</w:t>
      </w:r>
      <w:bookmarkEnd w:id="1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140 011 486,00 (2A)</w:t>
            </w:r>
          </w:p>
          <w:p>
            <w:pPr>
              <w:jc w:val="right"/>
              <w:rPr>
                <w:b w:val="0"/>
                <w:sz w:val="16"/>
              </w:rPr>
            </w:pPr>
            <w:r>
              <w:rPr>
                <w:b w:val="0"/>
                <w:sz w:val="16"/>
              </w:rPr>
              <w:t>17 850 000,00 (2B)</w:t>
            </w:r>
          </w:p>
          <w:p>
            <w:pPr>
              <w:jc w:val="right"/>
              <w:rPr>
                <w:b w:val="0"/>
                <w:sz w:val="16"/>
              </w:rPr>
            </w:pPr>
            <w:r>
              <w:rPr>
                <w:b w:val="0"/>
                <w:sz w:val="16"/>
              </w:rPr>
              <w:t>163 116 255,00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118 618 090,00 (P4)</w:t>
            </w:r>
          </w:p>
          <w:p>
            <w:pPr>
              <w:jc w:val="right"/>
              <w:rPr>
                <w:b w:val="0"/>
                <w:sz w:val="16"/>
              </w:rPr>
            </w:pPr>
            <w:r>
              <w:rPr>
                <w:b w:val="0"/>
                <w:sz w:val="16"/>
              </w:rPr>
              <w:t>74 974 395,00 (5A)</w:t>
            </w:r>
          </w:p>
          <w:p>
            <w:pPr>
              <w:jc w:val="right"/>
              <w:rPr>
                <w:b w:val="0"/>
                <w:sz w:val="16"/>
              </w:rPr>
            </w:pPr>
            <w:r>
              <w:rPr>
                <w:b w:val="0"/>
                <w:sz w:val="16"/>
              </w:rPr>
              <w:t>89 268 350,00 (5B)</w:t>
            </w:r>
          </w:p>
          <w:p>
            <w:pPr>
              <w:jc w:val="right"/>
              <w:rPr>
                <w:b w:val="0"/>
                <w:sz w:val="16"/>
              </w:rPr>
            </w:pPr>
            <w:r>
              <w:rPr>
                <w:b w:val="0"/>
                <w:sz w:val="16"/>
              </w:rPr>
              <w:t>32 501 117,00 (5C)</w:t>
            </w:r>
          </w:p>
          <w:p>
            <w:pPr>
              <w:jc w:val="right"/>
              <w:rPr>
                <w:b w:val="0"/>
                <w:sz w:val="16"/>
              </w:rPr>
            </w:pPr>
            <w:r>
              <w:rPr>
                <w:b w:val="0"/>
                <w:sz w:val="16"/>
              </w:rPr>
              <w:t>32 062 233,00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668 401 926,00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sz w:val="16"/>
              </w:rPr>
              <w:t>347 424 185,00</w:t>
            </w:r>
          </w:p>
        </w:tc>
      </w:tr>
    </w:tbl>
    <w:p>
      <w:pPr>
        <w:pStyle w:val="Heading3"/>
        <w:jc w:val="left"/>
        <w:rPr>
          <w:b w:val="0"/>
        </w:rPr>
      </w:pPr>
      <w:r>
        <w:rPr>
          <w:b/>
        </w:rPr>
        <w:br w:type="page"/>
      </w:r>
      <w:bookmarkStart w:id="142" w:name="_Toc256000142"/>
      <w:r>
        <w:rPr>
          <w:b w:val="0"/>
        </w:rPr>
        <w:t>M06 — Развитие на стопанства и предприятия (член 19)</w:t>
      </w:r>
      <w:bookmarkEnd w:id="1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51 803 500,00 (2A)</w:t>
            </w:r>
          </w:p>
          <w:p>
            <w:pPr>
              <w:jc w:val="right"/>
              <w:rPr>
                <w:b w:val="0"/>
                <w:sz w:val="16"/>
              </w:rPr>
            </w:pPr>
            <w:r>
              <w:rPr>
                <w:b w:val="0"/>
                <w:sz w:val="16"/>
              </w:rPr>
              <w:t>0,00 (2B)</w:t>
            </w:r>
          </w:p>
          <w:p>
            <w:pPr>
              <w:jc w:val="right"/>
              <w:rPr>
                <w:b w:val="0"/>
                <w:sz w:val="16"/>
              </w:rPr>
            </w:pPr>
            <w:r>
              <w:rPr>
                <w:b w:val="0"/>
                <w:sz w:val="16"/>
              </w:rPr>
              <w:t>4 468 916,00 (3A)</w:t>
            </w:r>
          </w:p>
          <w:p>
            <w:pPr>
              <w:jc w:val="right"/>
              <w:rPr>
                <w:b w:val="0"/>
                <w:sz w:val="16"/>
              </w:rPr>
            </w:pPr>
            <w:r>
              <w:rPr>
                <w:b w:val="0"/>
                <w:sz w:val="16"/>
              </w:rPr>
              <w:t>108 753 455,00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40 928 719,00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27 933 000,00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233 887 590,00</w:t>
            </w:r>
          </w:p>
        </w:tc>
      </w:tr>
    </w:tbl>
    <w:p>
      <w:pPr>
        <w:pStyle w:val="Heading3"/>
        <w:jc w:val="left"/>
        <w:rPr>
          <w:b w:val="0"/>
        </w:rPr>
      </w:pPr>
      <w:r>
        <w:rPr>
          <w:b/>
        </w:rPr>
        <w:br w:type="page"/>
      </w:r>
      <w:bookmarkStart w:id="143" w:name="_Toc256000143"/>
      <w:r>
        <w:rPr>
          <w:b w:val="0"/>
        </w:rPr>
        <w:t>М07 — Основни услуги и обновяване на селата в селските райони (член 20)</w:t>
      </w:r>
      <w:bookmarkEnd w:id="1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59 500 000,00 (5C)</w:t>
            </w:r>
          </w:p>
          <w:p>
            <w:pPr>
              <w:jc w:val="right"/>
              <w:rPr>
                <w:b w:val="0"/>
                <w:sz w:val="16"/>
              </w:rPr>
            </w:pPr>
            <w:r>
              <w:rPr>
                <w:b w:val="0"/>
                <w:sz w:val="16"/>
              </w:rPr>
              <w:t>446 867 024,00 (6B)</w:t>
            </w:r>
          </w:p>
          <w:p>
            <w:pPr>
              <w:jc w:val="right"/>
              <w:rPr>
                <w:b w:val="0"/>
                <w:sz w:val="16"/>
              </w:rPr>
            </w:pPr>
            <w:r>
              <w:rPr>
                <w:b w:val="0"/>
                <w:sz w:val="16"/>
              </w:rPr>
              <w:t>25 500 000,00 (6C)</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0,00 (6B)</w:t>
            </w:r>
          </w:p>
          <w:p>
            <w:pPr>
              <w:jc w:val="right"/>
              <w:rPr>
                <w:b w:val="0"/>
                <w:sz w:val="16"/>
              </w:rPr>
            </w:pPr>
            <w:r>
              <w:rPr>
                <w:b w:val="0"/>
                <w:sz w:val="16"/>
              </w:rPr>
              <w:t>0,00 (6C)</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531 867 024,00</w:t>
            </w:r>
          </w:p>
        </w:tc>
      </w:tr>
    </w:tbl>
    <w:p>
      <w:pPr>
        <w:pStyle w:val="Heading3"/>
        <w:jc w:val="left"/>
        <w:rPr>
          <w:b w:val="0"/>
        </w:rPr>
      </w:pPr>
      <w:r>
        <w:rPr>
          <w:b/>
        </w:rPr>
        <w:br w:type="page"/>
      </w:r>
      <w:bookmarkStart w:id="144" w:name="_Toc256000144"/>
      <w:r>
        <w:rPr>
          <w:b w:val="0"/>
        </w:rPr>
        <w:t>М08 — Инвестиции в развитие на горските райони и подобряване на жизнеспособността на горите (членове 21 — 26)</w:t>
      </w:r>
      <w:bookmarkEnd w:id="1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15 300 000,00 (2C+)</w:t>
            </w:r>
          </w:p>
          <w:p>
            <w:pPr>
              <w:jc w:val="right"/>
              <w:rPr>
                <w:b w:val="0"/>
                <w:sz w:val="16"/>
              </w:rPr>
            </w:pPr>
            <w:r>
              <w:rPr>
                <w:b w:val="0"/>
                <w:sz w:val="16"/>
              </w:rPr>
              <w:t>14 500 657,00 (P4)</w:t>
            </w:r>
          </w:p>
          <w:p>
            <w:pPr>
              <w:jc w:val="right"/>
              <w:rPr>
                <w:b w:val="0"/>
                <w:sz w:val="16"/>
              </w:rPr>
            </w:pPr>
            <w:r>
              <w:rPr>
                <w:b w:val="0"/>
                <w:sz w:val="16"/>
              </w:rPr>
              <w:t>16 362 500,00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6 913 334,00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53 076 491,00</w:t>
            </w:r>
          </w:p>
        </w:tc>
      </w:tr>
    </w:tbl>
    <w:p>
      <w:pPr>
        <w:pStyle w:val="Heading3"/>
        <w:jc w:val="left"/>
        <w:rPr>
          <w:b w:val="0"/>
        </w:rPr>
      </w:pPr>
      <w:r>
        <w:rPr>
          <w:b/>
        </w:rPr>
        <w:br w:type="page"/>
      </w:r>
      <w:bookmarkStart w:id="145" w:name="_Toc256000145"/>
      <w:r>
        <w:rPr>
          <w:b w:val="0"/>
        </w:rPr>
        <w:t>M09 — Създаване на групи и организации на производителите (член 27)</w:t>
      </w:r>
      <w:bookmarkEnd w:id="1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7 016 352,00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7 016 352,00</w:t>
            </w:r>
          </w:p>
        </w:tc>
      </w:tr>
    </w:tbl>
    <w:p>
      <w:pPr>
        <w:pStyle w:val="Heading3"/>
        <w:jc w:val="left"/>
        <w:rPr>
          <w:b w:val="0"/>
        </w:rPr>
      </w:pPr>
      <w:r>
        <w:rPr>
          <w:b/>
        </w:rPr>
        <w:br w:type="page"/>
      </w:r>
      <w:bookmarkStart w:id="146" w:name="_Toc256000146"/>
      <w:r>
        <w:rPr>
          <w:b w:val="0"/>
        </w:rPr>
        <w:t>M10 — Агроекология и климат (член 28)</w:t>
      </w:r>
      <w:bookmarkEnd w:id="1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161 510 002,00 (P4)</w:t>
            </w:r>
          </w:p>
          <w:p>
            <w:pPr>
              <w:jc w:val="right"/>
              <w:rPr>
                <w:b w:val="0"/>
                <w:sz w:val="16"/>
              </w:rPr>
            </w:pPr>
            <w:r>
              <w:rPr>
                <w:b w:val="0"/>
                <w:sz w:val="16"/>
              </w:rPr>
              <w:t>6 000 000,00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167 510 002,00</w:t>
            </w:r>
          </w:p>
        </w:tc>
      </w:tr>
    </w:tbl>
    <w:p>
      <w:pPr>
        <w:pStyle w:val="Heading3"/>
        <w:jc w:val="left"/>
        <w:rPr>
          <w:b w:val="0"/>
        </w:rPr>
      </w:pPr>
      <w:r>
        <w:rPr>
          <w:b/>
        </w:rPr>
        <w:br w:type="page"/>
      </w:r>
      <w:bookmarkStart w:id="147" w:name="_Toc256000147"/>
      <w:r>
        <w:rPr>
          <w:b w:val="0"/>
        </w:rPr>
        <w:t>М11 — Биологично земеделие (член 29)</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113 695 079,00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113 695 079,00</w:t>
            </w:r>
          </w:p>
        </w:tc>
      </w:tr>
    </w:tbl>
    <w:p>
      <w:pPr>
        <w:pStyle w:val="Heading3"/>
        <w:jc w:val="left"/>
        <w:rPr>
          <w:b w:val="0"/>
        </w:rPr>
      </w:pPr>
      <w:r>
        <w:rPr>
          <w:b/>
        </w:rPr>
        <w:br w:type="page"/>
      </w:r>
      <w:bookmarkStart w:id="148" w:name="_Toc256000148"/>
      <w:r>
        <w:rPr>
          <w:b w:val="0"/>
        </w:rPr>
        <w:t>M12 — Плащания по „Натура 2000“ и Рамковата директива за водите (член 30)</w:t>
      </w:r>
      <w:bookmarkEnd w:id="1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104 757 028,00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104 757 028,00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sz w:val="16"/>
              </w:rPr>
              <w:t>0,00</w:t>
            </w:r>
          </w:p>
        </w:tc>
      </w:tr>
    </w:tbl>
    <w:p>
      <w:pPr>
        <w:pStyle w:val="Heading3"/>
        <w:jc w:val="left"/>
        <w:rPr>
          <w:b w:val="0"/>
        </w:rPr>
      </w:pPr>
      <w:r>
        <w:rPr>
          <w:b/>
        </w:rPr>
        <w:br w:type="page"/>
      </w:r>
      <w:bookmarkStart w:id="149" w:name="_Toc256000149"/>
      <w:r>
        <w:rPr>
          <w:b w:val="0"/>
        </w:rPr>
        <w:t>М13 — Плащания за райони, изправени пред природни или други специфични ограничения (член 31)</w:t>
      </w:r>
      <w:bookmarkEnd w:id="1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206 703 506,00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206 703 506,00</w:t>
            </w:r>
          </w:p>
        </w:tc>
      </w:tr>
    </w:tbl>
    <w:p>
      <w:pPr>
        <w:pStyle w:val="Heading3"/>
        <w:jc w:val="left"/>
        <w:rPr>
          <w:b w:val="0"/>
        </w:rPr>
      </w:pPr>
      <w:r>
        <w:rPr>
          <w:b/>
        </w:rPr>
        <w:br w:type="page"/>
      </w:r>
      <w:bookmarkStart w:id="150" w:name="_Toc256000150"/>
      <w:r>
        <w:rPr>
          <w:b w:val="0"/>
        </w:rPr>
        <w:t>M14 — Хуманно отношение към животните (член 33)</w:t>
      </w:r>
      <w:bookmarkEnd w:id="1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48 330 584,00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48 330 584,00</w:t>
            </w:r>
          </w:p>
        </w:tc>
      </w:tr>
    </w:tbl>
    <w:p>
      <w:pPr>
        <w:pStyle w:val="Heading3"/>
        <w:jc w:val="left"/>
        <w:rPr>
          <w:b w:val="0"/>
        </w:rPr>
      </w:pPr>
      <w:r>
        <w:rPr>
          <w:b/>
        </w:rPr>
        <w:br w:type="page"/>
      </w:r>
      <w:bookmarkStart w:id="151" w:name="_Toc256000151"/>
      <w:r>
        <w:rPr>
          <w:b w:val="0"/>
        </w:rPr>
        <w:t>М15 — Екологични услуги и услуги във връзка с климата в горското стопанство и опазване на горите (член 34)</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6 562 500,00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6 562 500,00</w:t>
            </w:r>
          </w:p>
        </w:tc>
      </w:tr>
    </w:tbl>
    <w:p>
      <w:pPr>
        <w:pStyle w:val="Heading3"/>
        <w:jc w:val="left"/>
        <w:rPr>
          <w:b w:val="0"/>
        </w:rPr>
      </w:pPr>
      <w:r>
        <w:rPr>
          <w:b/>
        </w:rPr>
        <w:br w:type="page"/>
      </w:r>
      <w:bookmarkStart w:id="152" w:name="_Toc256000152"/>
      <w:r>
        <w:rPr>
          <w:b w:val="0"/>
        </w:rPr>
        <w:t>M16 — Сътрудничество (член 35)</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7 000 000,00 (2A)</w:t>
            </w:r>
          </w:p>
          <w:p>
            <w:pPr>
              <w:jc w:val="right"/>
              <w:rPr>
                <w:b w:val="0"/>
                <w:sz w:val="16"/>
              </w:rPr>
            </w:pPr>
            <w:r>
              <w:rPr>
                <w:b w:val="0"/>
                <w:sz w:val="16"/>
              </w:rPr>
              <w:t>8 600 000,00 (3A)</w:t>
            </w:r>
          </w:p>
          <w:p>
            <w:pPr>
              <w:jc w:val="right"/>
              <w:rPr>
                <w:b w:val="0"/>
                <w:sz w:val="16"/>
              </w:rPr>
            </w:pPr>
            <w:r>
              <w:rPr>
                <w:b w:val="0"/>
                <w:sz w:val="16"/>
              </w:rPr>
              <w:t>8 716 351,00 (P4)</w:t>
            </w:r>
          </w:p>
          <w:p>
            <w:pPr>
              <w:jc w:val="right"/>
              <w:rPr>
                <w:b w:val="0"/>
                <w:sz w:val="16"/>
              </w:rPr>
            </w:pPr>
            <w:r>
              <w:rPr>
                <w:b w:val="0"/>
                <w:sz w:val="16"/>
              </w:rPr>
              <w:t>1 000 000,00 (5A)</w:t>
            </w:r>
          </w:p>
          <w:p>
            <w:pPr>
              <w:jc w:val="right"/>
              <w:rPr>
                <w:b w:val="0"/>
                <w:sz w:val="16"/>
              </w:rPr>
            </w:pPr>
            <w:r>
              <w:rPr>
                <w:b w:val="0"/>
                <w:sz w:val="16"/>
              </w:rPr>
              <w:t>1 000 000,00 (5B)</w:t>
            </w:r>
          </w:p>
          <w:p>
            <w:pPr>
              <w:jc w:val="right"/>
              <w:rPr>
                <w:b w:val="0"/>
                <w:sz w:val="16"/>
              </w:rPr>
            </w:pPr>
            <w:r>
              <w:rPr>
                <w:b w:val="0"/>
                <w:sz w:val="16"/>
              </w:rPr>
              <w:t>1 000 000,00 (5C)</w:t>
            </w:r>
          </w:p>
          <w:p>
            <w:pPr>
              <w:jc w:val="right"/>
              <w:rPr>
                <w:b w:val="0"/>
                <w:sz w:val="16"/>
              </w:rPr>
            </w:pPr>
            <w:r>
              <w:rPr>
                <w:b w:val="0"/>
                <w:sz w:val="16"/>
              </w:rPr>
              <w:t>1 000 000,00 (5D)</w:t>
            </w:r>
          </w:p>
          <w:p>
            <w:pPr>
              <w:jc w:val="right"/>
              <w:rPr>
                <w:b w:val="0"/>
                <w:sz w:val="16"/>
              </w:rPr>
            </w:pPr>
            <w:r>
              <w:rPr>
                <w:b w:val="0"/>
                <w:sz w:val="16"/>
              </w:rPr>
              <w:t>1 000 000,00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29 316 351,00</w:t>
            </w:r>
          </w:p>
        </w:tc>
      </w:tr>
    </w:tbl>
    <w:p>
      <w:pPr>
        <w:pStyle w:val="Heading3"/>
        <w:jc w:val="left"/>
        <w:rPr>
          <w:b w:val="0"/>
        </w:rPr>
      </w:pPr>
      <w:r>
        <w:rPr>
          <w:b/>
        </w:rPr>
        <w:br w:type="page"/>
      </w:r>
      <w:bookmarkStart w:id="153" w:name="_Toc256000153"/>
      <w:r>
        <w:rPr>
          <w:b w:val="0"/>
        </w:rPr>
        <w:t>M19 — Подкрепа за местно развитие по LEADER (ВОМР — водено от общностите местно развитие) (член 35 от Регламент (ЕС) № 1303/2013)</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118 335 849,00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118 335 849,00</w:t>
            </w:r>
          </w:p>
        </w:tc>
      </w:tr>
    </w:tbl>
    <w:p>
      <w:pPr>
        <w:pStyle w:val="Heading3"/>
        <w:jc w:val="left"/>
        <w:rPr>
          <w:b w:val="0"/>
        </w:rPr>
      </w:pPr>
      <w:r>
        <w:rPr>
          <w:b/>
        </w:rPr>
        <w:br w:type="page"/>
      </w:r>
      <w:bookmarkStart w:id="154" w:name="_Toc256000154"/>
      <w:r>
        <w:rPr>
          <w:b w:val="0"/>
        </w:rPr>
        <w:t>М20 — Техническа помощ държави членки (членове 51 — 54)</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37 493 274,00</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37 493 274,00</w:t>
            </w:r>
          </w:p>
        </w:tc>
      </w:tr>
    </w:tbl>
    <w:p>
      <w:pPr>
        <w:rPr>
          <w:b/>
        </w:rPr>
        <w:sectPr>
          <w:pgSz w:w="15840" w:h="12240" w:orient="landscape"/>
          <w:pgMar w:top="900" w:right="900" w:bottom="900" w:left="900" w:header="720" w:footer="720"/>
          <w:cols w:space="720"/>
        </w:sectPr>
      </w:pPr>
    </w:p>
    <w:p>
      <w:pPr>
        <w:pStyle w:val="Heading2"/>
      </w:pPr>
      <w:bookmarkStart w:id="155" w:name="_Toc256000155"/>
      <w:r>
        <w:t>Ориентировъчна разбивка по мярка за всяка подпрограма</w:t>
      </w:r>
      <w:bookmarkEnd w:id="1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608"/>
        <w:gridCol w:w="5608"/>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750" w:type="pct"/>
            <w:shd w:val="clear" w:color="auto" w:fill="C0C0C0"/>
            <w:noWrap w:val="0"/>
            <w:tcMar>
              <w:top w:w="60" w:type="dxa"/>
            </w:tcMar>
            <w:vAlign w:val="top"/>
          </w:tcPr>
          <w:p>
            <w:pPr>
              <w:jc w:val="center"/>
              <w:rPr>
                <w:b w:val="0"/>
                <w:sz w:val="16"/>
              </w:rPr>
            </w:pPr>
            <w:r>
              <w:rPr>
                <w:b w:val="0"/>
                <w:sz w:val="16"/>
              </w:rPr>
              <w:t>Мярка</w:t>
            </w:r>
          </w:p>
        </w:tc>
        <w:tc>
          <w:tcPr>
            <w:tcW w:w="750" w:type="pct"/>
            <w:shd w:val="clear" w:color="auto" w:fill="C0C0C0"/>
            <w:noWrap w:val="0"/>
            <w:tcMar>
              <w:top w:w="60" w:type="dxa"/>
            </w:tcMar>
            <w:vAlign w:val="top"/>
          </w:tcPr>
          <w:p>
            <w:pPr>
              <w:jc w:val="center"/>
              <w:rPr>
                <w:b w:val="0"/>
                <w:sz w:val="16"/>
              </w:rPr>
            </w:pPr>
            <w:r>
              <w:rPr>
                <w:b w:val="0"/>
                <w:sz w:val="16"/>
              </w:rPr>
              <w:t>Общо планирано участие от Съюза за периода 2014—2020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13 291 922,00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23 872 557,00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56 272 416,00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56" w:name="_Toc256000156"/>
      <w:r>
        <w:t>План на показателите</w:t>
      </w:r>
      <w:bookmarkEnd w:id="156"/>
    </w:p>
    <w:p>
      <w:pPr>
        <w:pStyle w:val="Heading2"/>
      </w:pPr>
      <w:bookmarkStart w:id="157" w:name="_Toc256000157"/>
      <w:r>
        <w:t>План на показателите</w:t>
      </w:r>
      <w:bookmarkEnd w:id="157"/>
    </w:p>
    <w:p>
      <w:pPr>
        <w:pStyle w:val="Heading3"/>
        <w:jc w:val="left"/>
        <w:rPr>
          <w:b w:val="0"/>
        </w:rPr>
      </w:pPr>
      <w:bookmarkStart w:id="158" w:name="_Toc256000158"/>
      <w:r>
        <w:rPr>
          <w:b w:val="0"/>
        </w:rPr>
        <w:t>P1: Стимулиране на трансфера на знания и иновациите в областта на селското и горското стопанство и селските райони</w:t>
      </w:r>
      <w:bookmarkEnd w:id="158"/>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2,67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2 917 848 203,00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разходи (област с поставен акцент 1А)</w:t>
            </w:r>
          </w:p>
        </w:tc>
        <w:tc>
          <w:tcPr>
            <w:tcW w:w="1000" w:type="pct"/>
            <w:shd w:val="clear" w:color="auto" w:fill="FFFFFF"/>
            <w:noWrap w:val="0"/>
            <w:tcMar>
              <w:top w:w="60" w:type="dxa"/>
            </w:tcMar>
            <w:vAlign w:val="center"/>
          </w:tcPr>
          <w:p>
            <w:pPr>
              <w:spacing w:before="20" w:after="20"/>
              <w:jc w:val="right"/>
              <w:rPr>
                <w:b w:val="0"/>
                <w:sz w:val="16"/>
              </w:rPr>
            </w:pPr>
            <w:r>
              <w:rPr>
                <w:b w:val="0"/>
                <w:sz w:val="16"/>
              </w:rPr>
              <w:t>77 860 406,80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25 394 595,00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19 892 087,30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32 573 724,50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1000" w:type="pct"/>
            <w:shd w:val="clear" w:color="auto" w:fill="FFFFFF"/>
            <w:noWrap w:val="0"/>
            <w:tcMar>
              <w:top w:w="60" w:type="dxa"/>
            </w:tcMar>
            <w:vAlign w:val="center"/>
          </w:tcPr>
          <w:p>
            <w:pPr>
              <w:spacing w:before="20" w:after="20"/>
              <w:jc w:val="right"/>
              <w:rPr>
                <w:b w:val="0"/>
                <w:sz w:val="16"/>
              </w:rPr>
            </w:pPr>
            <w:r>
              <w:rPr>
                <w:b w:val="0"/>
                <w:sz w:val="16"/>
              </w:rPr>
              <w:t>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4 800,00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4 800,00</w:t>
            </w:r>
          </w:p>
        </w:tc>
      </w:tr>
    </w:tbl>
    <w:p>
      <w:pPr>
        <w:sectPr>
          <w:pgMar w:top="900" w:right="900" w:bottom="900" w:left="900" w:header="720" w:footer="720"/>
          <w:cols w:space="720"/>
        </w:sectPr>
      </w:pPr>
    </w:p>
    <w:p>
      <w:pPr>
        <w:pStyle w:val="Heading3"/>
        <w:jc w:val="left"/>
        <w:rPr>
          <w:b w:val="0"/>
        </w:rPr>
      </w:pPr>
      <w:bookmarkStart w:id="159" w:name="_Toc256000159"/>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59"/>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0,94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3 500,00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8 030,00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14 625 000,00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1000" w:type="pct"/>
            <w:shd w:val="clear" w:color="auto" w:fill="FFFFFF"/>
            <w:noWrap w:val="0"/>
            <w:tcMar>
              <w:top w:w="60" w:type="dxa"/>
            </w:tcMar>
            <w:vAlign w:val="center"/>
          </w:tcPr>
          <w:p>
            <w:pPr>
              <w:spacing w:before="20" w:after="20"/>
              <w:jc w:val="right"/>
              <w:rPr>
                <w:b w:val="0"/>
                <w:sz w:val="16"/>
              </w:rPr>
            </w:pPr>
            <w:r>
              <w:rPr>
                <w:b w:val="0"/>
                <w:sz w:val="16"/>
              </w:rPr>
              <w:t>3 500,00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1000" w:type="pct"/>
            <w:shd w:val="clear" w:color="auto" w:fill="FFFFFF"/>
            <w:noWrap w:val="0"/>
            <w:tcMar>
              <w:top w:w="60" w:type="dxa"/>
            </w:tcMar>
            <w:vAlign w:val="center"/>
          </w:tcPr>
          <w:p>
            <w:pPr>
              <w:spacing w:before="20" w:after="20"/>
              <w:jc w:val="right"/>
              <w:rPr>
                <w:b w:val="0"/>
                <w:sz w:val="16"/>
              </w:rPr>
            </w:pPr>
            <w:r>
              <w:rPr>
                <w:b w:val="0"/>
                <w:sz w:val="16"/>
              </w:rPr>
              <w:t>99 965 859,90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239 255 663,30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1000" w:type="pct"/>
            <w:shd w:val="clear" w:color="auto" w:fill="FFFFFF"/>
            <w:noWrap w:val="0"/>
            <w:tcMar>
              <w:top w:w="60" w:type="dxa"/>
            </w:tcMar>
            <w:vAlign w:val="center"/>
          </w:tcPr>
          <w:p>
            <w:pPr>
              <w:spacing w:before="20" w:after="20"/>
              <w:jc w:val="right"/>
              <w:rPr>
                <w:b w:val="0"/>
                <w:sz w:val="16"/>
              </w:rPr>
            </w:pPr>
            <w:r>
              <w:rPr>
                <w:b w:val="0"/>
                <w:sz w:val="16"/>
              </w:rPr>
              <w:t>164 719 395,70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164 719 395,70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1000" w:type="pct"/>
            <w:shd w:val="clear" w:color="auto" w:fill="FFFFFF"/>
            <w:noWrap w:val="0"/>
            <w:tcMar>
              <w:top w:w="60" w:type="dxa"/>
            </w:tcMar>
            <w:vAlign w:val="center"/>
          </w:tcPr>
          <w:p>
            <w:pPr>
              <w:spacing w:before="20" w:after="20"/>
              <w:jc w:val="right"/>
              <w:rPr>
                <w:b w:val="0"/>
                <w:sz w:val="16"/>
              </w:rPr>
            </w:pPr>
            <w:r>
              <w:rPr>
                <w:b w:val="0"/>
                <w:sz w:val="16"/>
              </w:rPr>
              <w:t>4 060,00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60 945 294,10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60 945 294,10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7 777 777,80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0,83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3 060,00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900,00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1 351 714,00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1000" w:type="pct"/>
            <w:shd w:val="clear" w:color="auto" w:fill="FFFFFF"/>
            <w:noWrap w:val="0"/>
            <w:tcMar>
              <w:top w:w="60" w:type="dxa"/>
            </w:tcMar>
            <w:vAlign w:val="center"/>
          </w:tcPr>
          <w:p>
            <w:pPr>
              <w:spacing w:before="20" w:after="20"/>
              <w:jc w:val="right"/>
              <w:rPr>
                <w:b w:val="0"/>
                <w:sz w:val="16"/>
              </w:rPr>
            </w:pPr>
            <w:r>
              <w:rPr>
                <w:b w:val="0"/>
                <w:sz w:val="16"/>
              </w:rPr>
              <w:t>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21 000 000,00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1000" w:type="pct"/>
            <w:shd w:val="clear" w:color="auto" w:fill="FFFFFF"/>
            <w:noWrap w:val="0"/>
            <w:tcMar>
              <w:top w:w="60" w:type="dxa"/>
            </w:tcMar>
            <w:vAlign w:val="center"/>
          </w:tcPr>
          <w:p>
            <w:pPr>
              <w:spacing w:before="20" w:after="20"/>
              <w:jc w:val="right"/>
              <w:rPr>
                <w:b w:val="0"/>
                <w:sz w:val="16"/>
              </w:rPr>
            </w:pPr>
            <w:r>
              <w:rPr>
                <w:b w:val="0"/>
                <w:sz w:val="16"/>
              </w:rPr>
              <w:t>3 060,00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18 000 000,00</w:t>
            </w:r>
          </w:p>
        </w:tc>
      </w:tr>
    </w:tbl>
    <w:p>
      <w:pPr>
        <w:sectPr>
          <w:pgMar w:top="900" w:right="900" w:bottom="900" w:left="900" w:header="720" w:footer="720"/>
          <w:cols w:space="720"/>
        </w:sectPr>
      </w:pPr>
    </w:p>
    <w:p>
      <w:pPr>
        <w:pStyle w:val="Heading3"/>
        <w:jc w:val="left"/>
        <w:rPr>
          <w:b w:val="0"/>
        </w:rPr>
      </w:pPr>
      <w:bookmarkStart w:id="160" w:name="_Toc256000160"/>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60"/>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0,12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3 150,00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984 000,00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1000" w:type="pct"/>
            <w:shd w:val="clear" w:color="auto" w:fill="FFFFFF"/>
            <w:noWrap w:val="0"/>
            <w:tcMar>
              <w:top w:w="60" w:type="dxa"/>
            </w:tcMar>
            <w:vAlign w:val="center"/>
          </w:tcPr>
          <w:p>
            <w:pPr>
              <w:spacing w:before="20" w:after="20"/>
              <w:jc w:val="right"/>
              <w:rPr>
                <w:b w:val="0"/>
                <w:sz w:val="16"/>
              </w:rPr>
            </w:pPr>
            <w:r>
              <w:rPr>
                <w:b w:val="0"/>
                <w:sz w:val="16"/>
              </w:rPr>
              <w:t>1 555,00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380 994 417,70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191 901 476,50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1000" w:type="pct"/>
            <w:shd w:val="clear" w:color="auto" w:fill="FFFFFF"/>
            <w:noWrap w:val="0"/>
            <w:tcMar>
              <w:top w:w="60" w:type="dxa"/>
            </w:tcMar>
            <w:vAlign w:val="center"/>
          </w:tcPr>
          <w:p>
            <w:pPr>
              <w:spacing w:before="20" w:after="20"/>
              <w:jc w:val="right"/>
              <w:rPr>
                <w:b w:val="0"/>
                <w:sz w:val="16"/>
              </w:rPr>
            </w:pPr>
            <w:r>
              <w:rPr>
                <w:b w:val="0"/>
                <w:sz w:val="16"/>
              </w:rPr>
              <w:t>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1000" w:type="pct"/>
            <w:shd w:val="clear" w:color="auto" w:fill="FFFFFF"/>
            <w:noWrap w:val="0"/>
            <w:tcMar>
              <w:top w:w="60" w:type="dxa"/>
            </w:tcMar>
            <w:vAlign w:val="center"/>
          </w:tcPr>
          <w:p>
            <w:pPr>
              <w:spacing w:before="20" w:after="20"/>
              <w:jc w:val="right"/>
              <w:rPr>
                <w:b w:val="0"/>
                <w:sz w:val="16"/>
              </w:rPr>
            </w:pPr>
            <w:r>
              <w:rPr>
                <w:b w:val="0"/>
                <w:sz w:val="16"/>
              </w:rPr>
              <w:t>170,00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7 795 946,60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1000" w:type="pct"/>
            <w:shd w:val="clear" w:color="auto" w:fill="FFFFFF"/>
            <w:noWrap w:val="0"/>
            <w:tcMar>
              <w:top w:w="60" w:type="dxa"/>
            </w:tcMar>
            <w:vAlign w:val="center"/>
          </w:tcPr>
          <w:p>
            <w:pPr>
              <w:spacing w:before="20" w:after="20"/>
              <w:jc w:val="right"/>
              <w:rPr>
                <w:b w:val="0"/>
                <w:sz w:val="16"/>
              </w:rPr>
            </w:pPr>
            <w:r>
              <w:rPr>
                <w:b w:val="0"/>
                <w:sz w:val="16"/>
              </w:rPr>
              <w:t>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56 859 510,50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60" w:type="dxa"/>
            </w:tcMar>
            <w:vAlign w:val="center"/>
          </w:tcPr>
          <w:p>
            <w:pPr>
              <w:spacing w:before="20" w:after="20"/>
              <w:jc w:val="right"/>
              <w:rPr>
                <w:b w:val="0"/>
                <w:sz w:val="16"/>
              </w:rPr>
            </w:pPr>
            <w:r>
              <w:rPr>
                <w:b w:val="0"/>
                <w:sz w:val="16"/>
              </w:rPr>
              <w:t>280,00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9 555 555,60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150 000,00</w:t>
            </w:r>
          </w:p>
        </w:tc>
      </w:tr>
    </w:tbl>
    <w:p>
      <w:pPr>
        <w:sectPr>
          <w:pgMar w:top="900" w:right="900" w:bottom="900" w:left="900" w:header="720" w:footer="720"/>
          <w:cols w:space="720"/>
        </w:sectPr>
      </w:pPr>
    </w:p>
    <w:p>
      <w:pPr>
        <w:pStyle w:val="Heading3"/>
        <w:jc w:val="left"/>
        <w:rPr>
          <w:b w:val="0"/>
        </w:rPr>
      </w:pPr>
      <w:bookmarkStart w:id="161" w:name="_Toc256000161"/>
      <w:r>
        <w:rPr>
          <w:b w:val="0"/>
        </w:rPr>
        <w:t>P4: Възстановяване, опазване и укрепване на екосистемите, свързани със селското и горското стопанство</w:t>
      </w:r>
      <w:bookmarkEnd w:id="161"/>
    </w:p>
    <w:p>
      <w:pPr>
        <w:rPr>
          <w:b/>
          <w:i/>
        </w:rPr>
      </w:pPr>
      <w:r>
        <w:rPr>
          <w:b/>
          <w:i/>
        </w:rPr>
        <w:t>Селско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5 900 000,00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1 725,00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1 325 318,00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1000" w:type="pct"/>
            <w:shd w:val="clear" w:color="auto" w:fill="FFFFFF"/>
            <w:noWrap w:val="0"/>
            <w:tcMar>
              <w:top w:w="60" w:type="dxa"/>
            </w:tcMar>
            <w:vAlign w:val="center"/>
          </w:tcPr>
          <w:p>
            <w:pPr>
              <w:spacing w:before="20" w:after="20"/>
              <w:jc w:val="right"/>
              <w:rPr>
                <w:b w:val="0"/>
                <w:sz w:val="16"/>
              </w:rPr>
            </w:pPr>
            <w:r>
              <w:rPr>
                <w:b w:val="0"/>
                <w:sz w:val="16"/>
              </w:rPr>
              <w:t>936,00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258 084 643,30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158 157 452,70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215 346 669,30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151 593 438,70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1000" w:type="pct"/>
            <w:shd w:val="clear" w:color="auto" w:fill="FFFFFF"/>
            <w:noWrap w:val="0"/>
            <w:tcMar>
              <w:top w:w="60" w:type="dxa"/>
            </w:tcMar>
            <w:vAlign w:val="center"/>
          </w:tcPr>
          <w:p>
            <w:pPr>
              <w:spacing w:before="20" w:after="20"/>
              <w:jc w:val="right"/>
              <w:rPr>
                <w:b w:val="0"/>
                <w:sz w:val="16"/>
              </w:rPr>
            </w:pPr>
            <w:r>
              <w:rPr>
                <w:b w:val="0"/>
                <w:sz w:val="16"/>
              </w:rPr>
              <w:t>385 000,00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1000" w:type="pct"/>
            <w:shd w:val="clear" w:color="auto" w:fill="FFFFFF"/>
            <w:noWrap w:val="0"/>
            <w:tcMar>
              <w:top w:w="60" w:type="dxa"/>
            </w:tcMar>
            <w:vAlign w:val="center"/>
          </w:tcPr>
          <w:p>
            <w:pPr>
              <w:spacing w:before="20" w:after="20"/>
              <w:jc w:val="right"/>
              <w:rPr>
                <w:b w:val="0"/>
                <w:sz w:val="16"/>
              </w:rPr>
            </w:pPr>
            <w:r>
              <w:rPr>
                <w:b w:val="0"/>
                <w:sz w:val="16"/>
              </w:rPr>
              <w:t>60 000,00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137 805 010,60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1000" w:type="pct"/>
            <w:shd w:val="clear" w:color="auto" w:fill="FFFFFF"/>
            <w:noWrap w:val="0"/>
            <w:tcMar>
              <w:top w:w="60" w:type="dxa"/>
            </w:tcMar>
            <w:vAlign w:val="center"/>
          </w:tcPr>
          <w:p>
            <w:pPr>
              <w:spacing w:before="20" w:after="20"/>
              <w:jc w:val="right"/>
              <w:rPr>
                <w:b w:val="0"/>
                <w:sz w:val="16"/>
              </w:rPr>
            </w:pPr>
            <w:r>
              <w:rPr>
                <w:b w:val="0"/>
                <w:sz w:val="16"/>
              </w:rPr>
              <w:t>310 000,00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1000" w:type="pct"/>
            <w:shd w:val="clear" w:color="auto" w:fill="FFFFFF"/>
            <w:noWrap w:val="0"/>
            <w:tcMar>
              <w:top w:w="60" w:type="dxa"/>
            </w:tcMar>
            <w:vAlign w:val="center"/>
          </w:tcPr>
          <w:p>
            <w:pPr>
              <w:spacing w:before="20" w:after="20"/>
              <w:jc w:val="right"/>
              <w:rPr>
                <w:b w:val="0"/>
                <w:sz w:val="16"/>
              </w:rPr>
            </w:pPr>
            <w:r>
              <w:rPr>
                <w:b w:val="0"/>
                <w:sz w:val="16"/>
              </w:rPr>
              <w:t>220 000,00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275 604 674,70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9 684 835,60</w:t>
            </w:r>
          </w:p>
        </w:tc>
      </w:tr>
    </w:tbl>
    <w:p>
      <w:pPr>
        <w:rPr>
          <w:b/>
          <w:i/>
        </w:rPr>
      </w:pPr>
      <w:r>
        <w:rPr>
          <w:b/>
          <w:i/>
        </w:rPr>
        <w:t>Горско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17 059 596,50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1000" w:type="pct"/>
            <w:shd w:val="clear" w:color="auto" w:fill="FFFFFF"/>
            <w:noWrap w:val="0"/>
            <w:tcMar>
              <w:top w:w="60" w:type="dxa"/>
            </w:tcMar>
            <w:vAlign w:val="center"/>
          </w:tcPr>
          <w:p>
            <w:pPr>
              <w:spacing w:before="20" w:after="20"/>
              <w:jc w:val="right"/>
              <w:rPr>
                <w:b w:val="0"/>
                <w:sz w:val="16"/>
              </w:rPr>
            </w:pPr>
            <w:r>
              <w:rPr>
                <w:b w:val="0"/>
                <w:sz w:val="16"/>
              </w:rPr>
              <w:t>56,00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1 871 026,70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Райони по договори за опазване на околната среда в горите (15.1)</w:t>
            </w:r>
          </w:p>
        </w:tc>
        <w:tc>
          <w:tcPr>
            <w:tcW w:w="1000" w:type="pct"/>
            <w:shd w:val="clear" w:color="auto" w:fill="FFFFFF"/>
            <w:noWrap w:val="0"/>
            <w:tcMar>
              <w:top w:w="60" w:type="dxa"/>
            </w:tcMar>
            <w:vAlign w:val="center"/>
          </w:tcPr>
          <w:p>
            <w:pPr>
              <w:spacing w:before="20" w:after="20"/>
              <w:jc w:val="right"/>
              <w:rPr>
                <w:b w:val="0"/>
                <w:sz w:val="16"/>
              </w:rPr>
            </w:pPr>
            <w:r>
              <w:rPr>
                <w:b w:val="0"/>
                <w:sz w:val="16"/>
              </w:rPr>
              <w:t>90 600,00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8 750 000,00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действия, свързани с генетичните ресурси (15.2)</w:t>
            </w:r>
          </w:p>
        </w:tc>
        <w:tc>
          <w:tcPr>
            <w:tcW w:w="1000" w:type="pct"/>
            <w:shd w:val="clear" w:color="auto" w:fill="FFFFFF"/>
            <w:noWrap w:val="0"/>
            <w:tcMar>
              <w:top w:w="60" w:type="dxa"/>
            </w:tcMar>
            <w:vAlign w:val="center"/>
          </w:tcPr>
          <w:p>
            <w:pPr>
              <w:spacing w:before="20" w:after="20"/>
              <w:jc w:val="right"/>
              <w:rPr>
                <w:b w:val="0"/>
                <w:sz w:val="16"/>
              </w:rPr>
            </w:pPr>
            <w:r>
              <w:rPr>
                <w:b w:val="0"/>
                <w:sz w:val="16"/>
              </w:rPr>
              <w:t>1 500 000,00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537 000,00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2,56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100 600,00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2,52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1,18</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2,31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90 600,00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62" w:name="_Toc256000162"/>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62"/>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49,78</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45 000,00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650,00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1000" w:type="pct"/>
            <w:shd w:val="clear" w:color="auto" w:fill="FFFFFF"/>
            <w:noWrap w:val="0"/>
            <w:tcMar>
              <w:top w:w="60" w:type="dxa"/>
            </w:tcMar>
            <w:vAlign w:val="center"/>
          </w:tcPr>
          <w:p>
            <w:pPr>
              <w:spacing w:before="20" w:after="20"/>
              <w:jc w:val="right"/>
              <w:rPr>
                <w:b w:val="0"/>
                <w:sz w:val="16"/>
              </w:rPr>
            </w:pPr>
            <w:r>
              <w:rPr>
                <w:b w:val="0"/>
                <w:sz w:val="16"/>
              </w:rPr>
              <w:t>45 000,00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99 965 860,00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99 965 860,00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216 674 111,30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467 100,00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505,00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216 674 111,30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119 024 466,80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149 544 703,80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215 555,30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215,00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79 544 703,80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43 334 822,30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18 105,00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1,58</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3 694 595,00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285 900,00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370,00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1000" w:type="pct"/>
            <w:shd w:val="clear" w:color="auto" w:fill="FFFFFF"/>
            <w:noWrap w:val="0"/>
            <w:tcMar>
              <w:top w:w="60" w:type="dxa"/>
            </w:tcMar>
            <w:vAlign w:val="center"/>
          </w:tcPr>
          <w:p>
            <w:pPr>
              <w:spacing w:before="20" w:after="20"/>
              <w:jc w:val="right"/>
              <w:rPr>
                <w:b w:val="0"/>
                <w:sz w:val="16"/>
              </w:rPr>
            </w:pPr>
            <w:r>
              <w:rPr>
                <w:b w:val="0"/>
                <w:sz w:val="16"/>
              </w:rPr>
              <w:t>18 105,00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71 249 407,50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42 749 644,50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1 300 000,00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277 500,00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1000" w:type="pct"/>
            <w:shd w:val="clear" w:color="auto" w:fill="FFFFFF"/>
            <w:noWrap w:val="0"/>
            <w:tcMar>
              <w:top w:w="60" w:type="dxa"/>
            </w:tcMar>
            <w:vAlign w:val="center"/>
          </w:tcPr>
          <w:p>
            <w:pPr>
              <w:spacing w:before="20" w:after="20"/>
              <w:jc w:val="right"/>
              <w:rPr>
                <w:b w:val="0"/>
                <w:sz w:val="16"/>
              </w:rPr>
            </w:pPr>
            <w:r>
              <w:rPr>
                <w:b w:val="0"/>
                <w:sz w:val="16"/>
              </w:rPr>
              <w:t>770,00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9 217 778,60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11 250 000,00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3"/>
        <w:jc w:val="left"/>
        <w:rPr>
          <w:b w:val="0"/>
        </w:rPr>
      </w:pPr>
      <w:bookmarkStart w:id="163" w:name="_Toc256000163"/>
      <w:r>
        <w:rPr>
          <w:b w:val="0"/>
        </w:rPr>
        <w:t>P6: Насърчаване на социалното приобщаване, намаляването на бедността и икономическото развитие в селските райони</w:t>
      </w:r>
      <w:bookmarkEnd w:id="163"/>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4 270,00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1 600,00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161 421 952,20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127 945 241,00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570,00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1000" w:type="pct"/>
            <w:shd w:val="clear" w:color="auto" w:fill="FFFFFF"/>
            <w:noWrap w:val="0"/>
            <w:tcMar>
              <w:top w:w="60" w:type="dxa"/>
            </w:tcMar>
            <w:vAlign w:val="center"/>
          </w:tcPr>
          <w:p>
            <w:pPr>
              <w:spacing w:before="20" w:after="20"/>
              <w:jc w:val="right"/>
              <w:rPr>
                <w:b w:val="0"/>
                <w:sz w:val="16"/>
              </w:rPr>
            </w:pPr>
            <w:r>
              <w:rPr>
                <w:b w:val="0"/>
                <w:sz w:val="16"/>
              </w:rPr>
              <w:t>250,00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1000" w:type="pct"/>
            <w:shd w:val="clear" w:color="auto" w:fill="FFFFFF"/>
            <w:noWrap w:val="0"/>
            <w:tcMar>
              <w:top w:w="60" w:type="dxa"/>
            </w:tcMar>
            <w:vAlign w:val="center"/>
          </w:tcPr>
          <w:p>
            <w:pPr>
              <w:spacing w:before="20" w:after="20"/>
              <w:jc w:val="right"/>
              <w:rPr>
                <w:b w:val="0"/>
                <w:sz w:val="16"/>
              </w:rPr>
            </w:pPr>
            <w:r>
              <w:rPr>
                <w:b w:val="0"/>
                <w:sz w:val="16"/>
              </w:rPr>
              <w:t>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525 725 910,60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1000" w:type="pct"/>
            <w:shd w:val="clear" w:color="auto" w:fill="FFFFFF"/>
            <w:noWrap w:val="0"/>
            <w:tcMar>
              <w:top w:w="60" w:type="dxa"/>
            </w:tcMar>
            <w:vAlign w:val="center"/>
          </w:tcPr>
          <w:p>
            <w:pPr>
              <w:spacing w:before="20" w:after="20"/>
              <w:jc w:val="right"/>
              <w:rPr>
                <w:b w:val="0"/>
                <w:sz w:val="16"/>
              </w:rPr>
            </w:pPr>
            <w:r>
              <w:rPr>
                <w:b w:val="0"/>
                <w:sz w:val="16"/>
              </w:rPr>
              <w:t>4 766 442,20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60" w:type="dxa"/>
            </w:tcMar>
            <w:vAlign w:val="center"/>
          </w:tcPr>
          <w:p>
            <w:pPr>
              <w:spacing w:before="20" w:after="20"/>
              <w:jc w:val="right"/>
              <w:rPr>
                <w:b w:val="0"/>
                <w:sz w:val="16"/>
              </w:rPr>
            </w:pPr>
            <w:r>
              <w:rPr>
                <w:b w:val="0"/>
                <w:sz w:val="16"/>
              </w:rPr>
              <w:t>90 163 875,60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60" w:type="dxa"/>
            </w:tcMar>
            <w:vAlign w:val="center"/>
          </w:tcPr>
          <w:p>
            <w:pPr>
              <w:spacing w:before="20" w:after="20"/>
              <w:jc w:val="right"/>
              <w:rPr>
                <w:b w:val="0"/>
                <w:sz w:val="16"/>
              </w:rPr>
            </w:pPr>
            <w:r>
              <w:rPr>
                <w:b w:val="0"/>
                <w:sz w:val="16"/>
              </w:rPr>
              <w:t>6 500 000,00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60" w:type="dxa"/>
            </w:tcMar>
            <w:vAlign w:val="center"/>
          </w:tcPr>
          <w:p>
            <w:pPr>
              <w:spacing w:before="20" w:after="20"/>
              <w:jc w:val="right"/>
              <w:rPr>
                <w:b w:val="0"/>
                <w:sz w:val="16"/>
              </w:rPr>
            </w:pPr>
            <w:r>
              <w:rPr>
                <w:b w:val="0"/>
                <w:sz w:val="16"/>
              </w:rPr>
              <w:t>30 053 958,90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98 373,00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1,64</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1000" w:type="pct"/>
            <w:shd w:val="clear" w:color="auto" w:fill="FFFFFF"/>
            <w:noWrap w:val="0"/>
            <w:tcMar>
              <w:top w:w="60" w:type="dxa"/>
            </w:tcMar>
            <w:vAlign w:val="center"/>
          </w:tcPr>
          <w:p>
            <w:pPr>
              <w:spacing w:before="20" w:after="20"/>
              <w:jc w:val="right"/>
              <w:rPr>
                <w:b w:val="0"/>
                <w:sz w:val="16"/>
              </w:rPr>
            </w:pPr>
            <w:r>
              <w:rPr>
                <w:b w:val="0"/>
                <w:sz w:val="16"/>
              </w:rPr>
              <w:t>19,00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1000" w:type="pct"/>
            <w:shd w:val="clear" w:color="auto" w:fill="FFFFFF"/>
            <w:noWrap w:val="0"/>
            <w:tcMar>
              <w:top w:w="60" w:type="dxa"/>
            </w:tcMar>
            <w:vAlign w:val="center"/>
          </w:tcPr>
          <w:p>
            <w:pPr>
              <w:spacing w:before="20" w:after="20"/>
              <w:jc w:val="right"/>
              <w:rPr>
                <w:b w:val="0"/>
                <w:sz w:val="16"/>
              </w:rPr>
            </w:pPr>
            <w:r>
              <w:rPr>
                <w:b w:val="0"/>
                <w:sz w:val="16"/>
              </w:rPr>
              <w:t>98 000,00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30 000 000,00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64" w:name="_Toc256000164"/>
      <w:r>
        <w:t>Преглед на планираното изпълнение и на планираните разходи по мерки и по области с поставен акцент (генериран автоматично)</w:t>
      </w:r>
      <w:bookmarkEnd w:id="1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07"/>
        <w:gridCol w:w="1535"/>
        <w:gridCol w:w="931"/>
        <w:gridCol w:w="873"/>
        <w:gridCol w:w="787"/>
        <w:gridCol w:w="931"/>
        <w:gridCol w:w="643"/>
        <w:gridCol w:w="456"/>
        <w:gridCol w:w="448"/>
        <w:gridCol w:w="448"/>
        <w:gridCol w:w="815"/>
        <w:gridCol w:w="931"/>
        <w:gridCol w:w="873"/>
        <w:gridCol w:w="873"/>
        <w:gridCol w:w="815"/>
        <w:gridCol w:w="931"/>
        <w:gridCol w:w="931"/>
        <w:gridCol w:w="787"/>
        <w:gridCol w:w="101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P2</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P3</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P4</w:t>
            </w:r>
          </w:p>
        </w:tc>
        <w:tc>
          <w:tcPr>
            <w:tcW w:w="1000" w:type="pct"/>
            <w:gridSpan w:val="5"/>
            <w:shd w:val="clear" w:color="auto" w:fill="C0C0C0"/>
            <w:noWrap w:val="0"/>
            <w:tcMar>
              <w:top w:w="20" w:type="dxa"/>
              <w:left w:w="20" w:type="dxa"/>
              <w:bottom w:w="20" w:type="dxa"/>
            </w:tcMar>
            <w:vAlign w:val="center"/>
          </w:tcPr>
          <w:p>
            <w:pPr>
              <w:jc w:val="center"/>
              <w:rPr>
                <w:b w:val="0"/>
                <w:sz w:val="16"/>
              </w:rPr>
            </w:pPr>
            <w:r>
              <w:rPr>
                <w:b w:val="0"/>
                <w:sz w:val="16"/>
              </w:rPr>
              <w:t>P5</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P6</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5D</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5E</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6C</w:t>
            </w:r>
          </w:p>
        </w:tc>
        <w:tc>
          <w:tcPr>
            <w:tcW w:w="1000" w:type="pct"/>
            <w:vMerge/>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4,800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5,900,000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3,694,595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25,394,595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8,030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1,725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370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19,425</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14,625,000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1,351,714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984,000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1,325,318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467,100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215,555.3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285,900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277,500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19,892,087.3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239,255,663.3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380,994,417.7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258,084,643.3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99,965,860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216,674,111.3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79,544,703.8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71,249,407.5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1,380,768,806.9</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164,719,395.7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191,901,476.5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158,157,452.7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99,965,860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119,024,466.8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43,334,822.3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42,749,644.5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840,853,118.5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60,945,294.1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76,513,021.1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161,421,952.2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304,137,815.4</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60,945,294.1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76,513,021.1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127,945,241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270,661,104.2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525,725,910.6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625,725,910.6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17,059,596.5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17,059,596.5</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11,250,000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11,250,000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7,795,946.6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7,795,946.6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215,346,669.3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223,346,669.3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151,593,438.7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151,593,438.7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горска земя по „Натура 2000“ (12.2)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рамкова директива за водите (12.3)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60,000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139,676,037.3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139,676,037.3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275,604,674.7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275,604,674.7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56,859,510.5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56,859,510.5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M15</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Райони по договори за опазване на околната среда в горите (15.1)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90,600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90,600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8,750,000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8,750,000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7,777,777.8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9,555,555.6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9,684,835.6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32,573,724.5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4,766,442.2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4,766,442.2</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90,163,875.6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90,163,875.6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30,053,958.9</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30,053,958.9</w:t>
            </w:r>
          </w:p>
        </w:tc>
      </w:tr>
    </w:tbl>
    <w:p>
      <w:pPr>
        <w:sectPr>
          <w:pgSz w:w="15840" w:h="12240" w:orient="landscape"/>
          <w:pgMar w:top="900" w:right="46" w:bottom="900" w:left="46" w:header="720" w:footer="720"/>
          <w:cols w:space="720"/>
        </w:sectPr>
      </w:pPr>
    </w:p>
    <w:p>
      <w:pPr>
        <w:pStyle w:val="Heading2"/>
      </w:pPr>
      <w:bookmarkStart w:id="165" w:name="_Toc256000165"/>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052"/>
        <w:gridCol w:w="6173"/>
        <w:gridCol w:w="344"/>
        <w:gridCol w:w="335"/>
        <w:gridCol w:w="335"/>
        <w:gridCol w:w="344"/>
        <w:gridCol w:w="335"/>
        <w:gridCol w:w="425"/>
        <w:gridCol w:w="344"/>
        <w:gridCol w:w="335"/>
        <w:gridCol w:w="344"/>
        <w:gridCol w:w="335"/>
        <w:gridCol w:w="335"/>
        <w:gridCol w:w="344"/>
        <w:gridCol w:w="335"/>
        <w:gridCol w:w="335"/>
        <w:gridCol w:w="344"/>
        <w:gridCol w:w="326"/>
        <w:gridCol w:w="344"/>
        <w:gridCol w:w="335"/>
        <w:gridCol w:w="33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М15 — Екологични услуги и услуги във връзка с климата в горското стопанство и опазване на горите (член 34)</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66" w:name="_Toc256000166"/>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66"/>
    </w:p>
    <w:p>
      <w:pPr>
        <w:pStyle w:val="Heading3"/>
        <w:jc w:val="left"/>
        <w:rPr>
          <w:b w:val="0"/>
        </w:rPr>
      </w:pPr>
      <w:r>
        <w:rPr>
          <w:b w:val="0"/>
        </w:rPr>
        <w:t xml:space="preserve"> </w:t>
      </w:r>
      <w:bookmarkStart w:id="167" w:name="_Toc256000167"/>
      <w:r>
        <w:rPr>
          <w:b w:val="0"/>
        </w:rPr>
        <w:t>Земеделска земя</w:t>
      </w:r>
      <w:bookmarkEnd w:id="167"/>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813"/>
        <w:gridCol w:w="1703"/>
        <w:gridCol w:w="1040"/>
        <w:gridCol w:w="1185"/>
        <w:gridCol w:w="1509"/>
        <w:gridCol w:w="1413"/>
        <w:gridCol w:w="1413"/>
        <w:gridCol w:w="1435"/>
        <w:gridCol w:w="250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52 420 000,00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28 420 000,00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77 420 000,00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8 000 000,00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20 000 000,00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37 086 669,30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64"/>
        <w:gridCol w:w="1321"/>
        <w:gridCol w:w="1443"/>
        <w:gridCol w:w="1715"/>
        <w:gridCol w:w="1635"/>
        <w:gridCol w:w="1635"/>
        <w:gridCol w:w="1653"/>
        <w:gridCol w:w="255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35 726 624,00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87 179 871,00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88"/>
        <w:gridCol w:w="1297"/>
        <w:gridCol w:w="1421"/>
        <w:gridCol w:w="1698"/>
        <w:gridCol w:w="1616"/>
        <w:gridCol w:w="1616"/>
        <w:gridCol w:w="1634"/>
        <w:gridCol w:w="255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90 829 877,30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15 000 000,00</w:t>
            </w:r>
          </w:p>
        </w:tc>
        <w:tc>
          <w:tcPr>
            <w:tcW w:w="750" w:type="pct"/>
            <w:shd w:val="clear" w:color="auto" w:fill="FFFFFF"/>
            <w:noWrap w:val="0"/>
            <w:tcMar>
              <w:top w:w="60" w:type="dxa"/>
            </w:tcMar>
            <w:vAlign w:val="top"/>
          </w:tcPr>
          <w:p>
            <w:pPr>
              <w:jc w:val="right"/>
              <w:rPr>
                <w:b w:val="0"/>
                <w:sz w:val="16"/>
              </w:rPr>
            </w:pPr>
            <w:r>
              <w:rPr>
                <w:b w:val="0"/>
                <w:sz w:val="16"/>
              </w:rPr>
              <w:t>60 000,00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09"/>
        <w:gridCol w:w="1312"/>
        <w:gridCol w:w="1435"/>
        <w:gridCol w:w="1709"/>
        <w:gridCol w:w="1628"/>
        <w:gridCol w:w="1628"/>
        <w:gridCol w:w="1646"/>
        <w:gridCol w:w="25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9 217 778,70</w:t>
            </w:r>
          </w:p>
        </w:tc>
        <w:tc>
          <w:tcPr>
            <w:tcW w:w="750" w:type="pct"/>
            <w:shd w:val="clear" w:color="auto" w:fill="FFFFFF"/>
            <w:noWrap w:val="0"/>
            <w:tcMar>
              <w:top w:w="60" w:type="dxa"/>
            </w:tcMar>
            <w:vAlign w:val="top"/>
          </w:tcPr>
          <w:p>
            <w:pPr>
              <w:jc w:val="right"/>
              <w:rPr>
                <w:b w:val="0"/>
                <w:sz w:val="16"/>
              </w:rPr>
            </w:pPr>
            <w:r>
              <w:rPr>
                <w:b w:val="0"/>
                <w:sz w:val="16"/>
              </w:rPr>
              <w:t>2 050,00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68" w:name="_Toc256000168"/>
      <w:r>
        <w:rPr>
          <w:b w:val="0"/>
        </w:rPr>
        <w:t>Горски площи</w:t>
      </w:r>
      <w:bookmarkEnd w:id="168"/>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02"/>
        <w:gridCol w:w="2260"/>
        <w:gridCol w:w="2304"/>
        <w:gridCol w:w="2404"/>
        <w:gridCol w:w="2375"/>
        <w:gridCol w:w="237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7 250 000,00</w:t>
            </w:r>
          </w:p>
        </w:tc>
        <w:tc>
          <w:tcPr>
            <w:tcW w:w="750" w:type="pct"/>
            <w:shd w:val="clear" w:color="auto" w:fill="FFFFFF"/>
            <w:noWrap w:val="0"/>
            <w:tcMar>
              <w:top w:w="60" w:type="dxa"/>
            </w:tcMar>
            <w:vAlign w:val="top"/>
          </w:tcPr>
          <w:p>
            <w:pPr>
              <w:jc w:val="right"/>
              <w:rPr>
                <w:b w:val="0"/>
                <w:sz w:val="16"/>
              </w:rPr>
            </w:pPr>
            <w:r>
              <w:rPr>
                <w:b w:val="0"/>
                <w:sz w:val="16"/>
              </w:rPr>
              <w:t>90 600,00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1 500 000,00</w:t>
            </w:r>
          </w:p>
        </w:tc>
        <w:tc>
          <w:tcPr>
            <w:tcW w:w="750" w:type="pct"/>
            <w:shd w:val="clear" w:color="auto" w:fill="FFFFFF"/>
            <w:noWrap w:val="0"/>
            <w:tcMar>
              <w:top w:w="60" w:type="dxa"/>
            </w:tcMar>
            <w:vAlign w:val="top"/>
          </w:tcPr>
          <w:p>
            <w:pPr>
              <w:jc w:val="right"/>
              <w:rPr>
                <w:b w:val="0"/>
                <w:sz w:val="16"/>
              </w:rPr>
            </w:pPr>
            <w:r>
              <w:rPr>
                <w:b w:val="0"/>
                <w:sz w:val="16"/>
              </w:rPr>
              <w:t>100,00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50"/>
        <w:gridCol w:w="1941"/>
        <w:gridCol w:w="2012"/>
        <w:gridCol w:w="2170"/>
        <w:gridCol w:w="2124"/>
        <w:gridCol w:w="21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1 871 026,67</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02"/>
        <w:gridCol w:w="1952"/>
        <w:gridCol w:w="2022"/>
        <w:gridCol w:w="2179"/>
        <w:gridCol w:w="2132"/>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11 250 000,00</w:t>
            </w:r>
          </w:p>
        </w:tc>
        <w:tc>
          <w:tcPr>
            <w:tcW w:w="750" w:type="pct"/>
            <w:shd w:val="clear" w:color="auto" w:fill="FFFFFF"/>
            <w:noWrap w:val="0"/>
            <w:tcMar>
              <w:top w:w="60" w:type="dxa"/>
            </w:tcMar>
            <w:vAlign w:val="top"/>
          </w:tcPr>
          <w:p>
            <w:pPr>
              <w:jc w:val="right"/>
              <w:rPr>
                <w:b w:val="0"/>
                <w:sz w:val="16"/>
              </w:rPr>
            </w:pPr>
            <w:r>
              <w:rPr>
                <w:b w:val="0"/>
                <w:sz w:val="16"/>
              </w:rPr>
              <w:t>1 500,00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69" w:name="_Toc256000169"/>
      <w:r>
        <w:t>Специфични за програмата цел и изпълнение</w:t>
      </w:r>
      <w:bookmarkEnd w:id="169"/>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098"/>
        <w:gridCol w:w="1805"/>
        <w:gridCol w:w="1519"/>
        <w:gridCol w:w="1514"/>
        <w:gridCol w:w="14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2023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125"/>
        <w:gridCol w:w="1741"/>
        <w:gridCol w:w="1261"/>
        <w:gridCol w:w="1389"/>
        <w:gridCol w:w="1556"/>
        <w:gridCol w:w="134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val="0"/>
                <w:sz w:val="20"/>
              </w:rPr>
            </w:pPr>
            <w:r>
              <w:rPr>
                <w:b/>
                <w:sz w:val="20"/>
              </w:rPr>
              <w:t>Мерна единица</w:t>
            </w:r>
          </w:p>
        </w:tc>
      </w:tr>
    </w:tbl>
    <w:p>
      <w:pPr>
        <w:sectPr>
          <w:pgMar w:top="900" w:right="900" w:bottom="900" w:left="900" w:header="720" w:footer="720"/>
          <w:cols w:space="720"/>
        </w:sectPr>
      </w:pPr>
    </w:p>
    <w:p>
      <w:pPr>
        <w:pStyle w:val="Heading1"/>
      </w:pPr>
      <w:bookmarkStart w:id="170" w:name="_Toc256000170"/>
      <w:r>
        <w:t>Допълнително национално финансиране</w:t>
      </w:r>
      <w:bookmarkEnd w:id="170"/>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71" w:name="_Toc256000171"/>
      <w:r>
        <w:rPr>
          <w:b/>
          <w:i w:val="0"/>
        </w:rPr>
        <w:t>М01 — Трансфер на знания и действия за осведомяване (член 14)</w:t>
      </w:r>
      <w:bookmarkEnd w:id="17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72" w:name="_Toc256000172"/>
      <w:r>
        <w:rPr>
          <w:b/>
          <w:i w:val="0"/>
        </w:rPr>
        <w:t>М02 —  Консултантски услуги, услуги по управление на стопанство и услуги по заместване в стопанство (член 15)</w:t>
      </w:r>
      <w:bookmarkEnd w:id="17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73" w:name="_Toc256000173"/>
      <w:r>
        <w:rPr>
          <w:b/>
          <w:i w:val="0"/>
        </w:rPr>
        <w:t>M04 — Инвестиции в материални активи (член 17)</w:t>
      </w:r>
      <w:bookmarkEnd w:id="17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74" w:name="_Toc256000174"/>
      <w:r>
        <w:rPr>
          <w:b/>
          <w:i w:val="0"/>
        </w:rPr>
        <w:t>M06 — Развитие на стопанства и предприятия (член 19)</w:t>
      </w:r>
      <w:bookmarkEnd w:id="17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75" w:name="_Toc256000175"/>
      <w:r>
        <w:rPr>
          <w:b/>
          <w:i w:val="0"/>
        </w:rPr>
        <w:t>М07 — Основни услуги и обновяване на селата в селските райони (член 20)</w:t>
      </w:r>
      <w:bookmarkEnd w:id="17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76" w:name="_Toc256000176"/>
      <w:r>
        <w:rPr>
          <w:b/>
          <w:i w:val="0"/>
        </w:rPr>
        <w:t>М08 — Инвестиции в развитие на горските райони и подобряване на жизнеспособността на горите (членове 21 — 26)</w:t>
      </w:r>
      <w:bookmarkEnd w:id="17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77" w:name="_Toc256000177"/>
      <w:r>
        <w:rPr>
          <w:b/>
          <w:i w:val="0"/>
        </w:rPr>
        <w:t>M09 — Създаване на групи и организации на производителите (член 27)</w:t>
      </w:r>
      <w:bookmarkEnd w:id="17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78" w:name="_Toc256000178"/>
      <w:r>
        <w:rPr>
          <w:b/>
          <w:i w:val="0"/>
        </w:rPr>
        <w:t>M10 — Агроекология и климат (член 28)</w:t>
      </w:r>
      <w:bookmarkEnd w:id="17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79" w:name="_Toc256000179"/>
      <w:r>
        <w:rPr>
          <w:b/>
          <w:i w:val="0"/>
        </w:rPr>
        <w:t>М11 — Биологично земеделие (член 29)</w:t>
      </w:r>
      <w:bookmarkEnd w:id="17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0" w:name="_Toc256000180"/>
      <w:r>
        <w:rPr>
          <w:b/>
          <w:i w:val="0"/>
        </w:rPr>
        <w:t>M12 — Плащания по „Натура 2000“ и Рамковата директива за водите (член 30)</w:t>
      </w:r>
      <w:bookmarkEnd w:id="18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1" w:name="_Toc256000181"/>
      <w:r>
        <w:rPr>
          <w:b/>
          <w:i w:val="0"/>
        </w:rPr>
        <w:t>М13 — Плащания за райони, изправени пред природни или други специфични ограничения (член 31)</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2" w:name="_Toc256000182"/>
      <w:r>
        <w:rPr>
          <w:b/>
          <w:i w:val="0"/>
        </w:rPr>
        <w:t>M14 — Хуманно отношение към животните (член 33)</w:t>
      </w:r>
      <w:bookmarkEnd w:id="18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3" w:name="_Toc256000183"/>
      <w:r>
        <w:rPr>
          <w:b/>
          <w:i w:val="0"/>
        </w:rPr>
        <w:t>М15 — Екологични услуги и услуги във връзка с климата в горското стопанство и опазване на горите (член 34)</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M16 — Сътрудничество (член 35)</w:t>
      </w:r>
      <w:bookmarkEnd w:id="18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5" w:name="_Toc256000185"/>
      <w:r>
        <w:rPr>
          <w:b/>
          <w:i w:val="0"/>
        </w:rPr>
        <w:t>M19 — Подкрепа за местно развитие по LEADER (ВОМР — водено от общностите местно развитие) (член 35 от Регламент (ЕС) № 1303/2013)</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М20 — Техническа помощ държави членки (членове 51 — 54)</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87" w:name="_Toc256000187"/>
      <w:r>
        <w:t>Елементи, необходими за оценка на държавната помощ</w:t>
      </w:r>
      <w:bookmarkEnd w:id="187"/>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325"/>
        <w:gridCol w:w="3331"/>
        <w:gridCol w:w="1809"/>
        <w:gridCol w:w="1926"/>
        <w:gridCol w:w="1828"/>
        <w:gridCol w:w="180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360 000,00</w:t>
            </w:r>
          </w:p>
        </w:tc>
        <w:tc>
          <w:tcPr>
            <w:tcW w:w="650" w:type="pct"/>
            <w:shd w:val="clear" w:color="auto" w:fill="FFFFFF"/>
            <w:noWrap w:val="0"/>
            <w:tcMar>
              <w:top w:w="60" w:type="dxa"/>
            </w:tcMar>
            <w:vAlign w:val="top"/>
          </w:tcPr>
          <w:p>
            <w:pPr>
              <w:jc w:val="right"/>
              <w:rPr>
                <w:b w:val="0"/>
                <w:sz w:val="16"/>
              </w:rPr>
            </w:pPr>
            <w:r>
              <w:rPr>
                <w:b w:val="0"/>
                <w:sz w:val="16"/>
              </w:rPr>
              <w:t>40 000,00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21 250 000,00</w:t>
            </w:r>
          </w:p>
        </w:tc>
        <w:tc>
          <w:tcPr>
            <w:tcW w:w="650" w:type="pct"/>
            <w:shd w:val="clear" w:color="auto" w:fill="FFFFFF"/>
            <w:noWrap w:val="0"/>
            <w:tcMar>
              <w:top w:w="60" w:type="dxa"/>
            </w:tcMar>
            <w:vAlign w:val="top"/>
          </w:tcPr>
          <w:p>
            <w:pPr>
              <w:jc w:val="right"/>
              <w:rPr>
                <w:b w:val="0"/>
                <w:sz w:val="16"/>
              </w:rPr>
            </w:pPr>
            <w:r>
              <w:rPr>
                <w:b w:val="0"/>
                <w:sz w:val="16"/>
              </w:rPr>
              <w:t>3 750 000,00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200" w:type="pct"/>
            <w:shd w:val="clear" w:color="auto" w:fill="FFFFFF"/>
            <w:noWrap w:val="0"/>
            <w:tcMar>
              <w:top w:w="60" w:type="dxa"/>
            </w:tcMar>
            <w:vAlign w:val="top"/>
          </w:tcPr>
          <w:p>
            <w:pPr>
              <w:jc w:val="left"/>
              <w:rPr>
                <w:b w:val="0"/>
                <w:sz w:val="16"/>
              </w:rPr>
            </w:pPr>
            <w:r>
              <w:rPr>
                <w:b w:val="0"/>
                <w:sz w:val="16"/>
              </w:rPr>
              <w:t>Помощ за горскоекологични услуги и услуги във връзка с климата в горското стопанство и опазване на горите</w:t>
            </w:r>
          </w:p>
        </w:tc>
        <w:tc>
          <w:tcPr>
            <w:tcW w:w="650" w:type="pct"/>
            <w:shd w:val="clear" w:color="auto" w:fill="FFFFFF"/>
            <w:noWrap w:val="0"/>
            <w:tcMar>
              <w:top w:w="60" w:type="dxa"/>
            </w:tcMar>
            <w:vAlign w:val="top"/>
          </w:tcPr>
          <w:p>
            <w:pPr>
              <w:jc w:val="right"/>
              <w:rPr>
                <w:b w:val="0"/>
                <w:sz w:val="16"/>
              </w:rPr>
            </w:pPr>
            <w:r>
              <w:rPr>
                <w:b w:val="0"/>
                <w:sz w:val="16"/>
              </w:rPr>
              <w:t>6 562 500,00</w:t>
            </w:r>
          </w:p>
        </w:tc>
        <w:tc>
          <w:tcPr>
            <w:tcW w:w="650" w:type="pct"/>
            <w:shd w:val="clear" w:color="auto" w:fill="FFFFFF"/>
            <w:noWrap w:val="0"/>
            <w:tcMar>
              <w:top w:w="60" w:type="dxa"/>
            </w:tcMar>
            <w:vAlign w:val="top"/>
          </w:tcPr>
          <w:p>
            <w:pPr>
              <w:jc w:val="right"/>
              <w:rPr>
                <w:b w:val="0"/>
                <w:sz w:val="16"/>
              </w:rPr>
            </w:pPr>
            <w:r>
              <w:rPr>
                <w:b w:val="0"/>
                <w:sz w:val="16"/>
              </w:rPr>
              <w:t>2 187 500,00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8 750 000,00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sz w:val="16"/>
              </w:rPr>
            </w:pPr>
            <w:r>
              <w:rPr>
                <w:b w:val="0"/>
                <w:sz w:val="16"/>
              </w:rPr>
              <w:t>96 663 875,09</w:t>
            </w: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596 044 724,38</w:t>
            </w:r>
          </w:p>
        </w:tc>
        <w:tc>
          <w:tcPr>
            <w:tcW w:w="650" w:type="pct"/>
            <w:shd w:val="clear" w:color="auto" w:fill="C0C0C0"/>
            <w:noWrap w:val="0"/>
            <w:tcMar>
              <w:top w:w="60" w:type="dxa"/>
            </w:tcMar>
            <w:vAlign w:val="top"/>
          </w:tcPr>
          <w:p>
            <w:pPr>
              <w:jc w:val="right"/>
              <w:rPr>
                <w:b/>
                <w:sz w:val="16"/>
              </w:rPr>
            </w:pPr>
            <w:r>
              <w:rPr>
                <w:b/>
                <w:sz w:val="16"/>
              </w:rPr>
              <w:t>100 848 605,76</w:t>
            </w:r>
          </w:p>
        </w:tc>
        <w:tc>
          <w:tcPr>
            <w:tcW w:w="650" w:type="pct"/>
            <w:shd w:val="clear" w:color="auto" w:fill="C0C0C0"/>
            <w:noWrap w:val="0"/>
            <w:tcMar>
              <w:top w:w="60" w:type="dxa"/>
            </w:tcMar>
            <w:vAlign w:val="top"/>
          </w:tcPr>
          <w:p>
            <w:pPr>
              <w:jc w:val="right"/>
              <w:rPr>
                <w:b/>
                <w:sz w:val="16"/>
              </w:rPr>
            </w:pPr>
            <w:r>
              <w:rPr>
                <w:b/>
                <w:sz w:val="16"/>
              </w:rPr>
              <w:t>0,00</w:t>
            </w:r>
          </w:p>
        </w:tc>
        <w:tc>
          <w:tcPr>
            <w:tcW w:w="650" w:type="pct"/>
            <w:shd w:val="clear" w:color="auto" w:fill="C0C0C0"/>
            <w:noWrap w:val="0"/>
            <w:tcMar>
              <w:top w:w="60" w:type="dxa"/>
            </w:tcMar>
            <w:vAlign w:val="top"/>
          </w:tcPr>
          <w:p>
            <w:pPr>
              <w:jc w:val="right"/>
              <w:rPr>
                <w:b w:val="0"/>
                <w:sz w:val="16"/>
              </w:rPr>
            </w:pPr>
            <w:r>
              <w:rPr>
                <w:b/>
                <w:sz w:val="16"/>
              </w:rPr>
              <w:t>696 893 330,14</w:t>
            </w:r>
          </w:p>
        </w:tc>
      </w:tr>
    </w:tbl>
    <w:p>
      <w:pPr>
        <w:rPr>
          <w:b/>
        </w:rPr>
        <w:sectPr>
          <w:pgSz w:w="15840" w:h="12240" w:orient="landscape"/>
          <w:pgMar w:top="900" w:right="900" w:bottom="900" w:left="900" w:header="720" w:footer="720"/>
          <w:cols w:space="720"/>
        </w:sectPr>
      </w:pPr>
    </w:p>
    <w:p/>
    <w:p>
      <w:pPr>
        <w:pStyle w:val="Heading2"/>
      </w:pPr>
      <w:bookmarkStart w:id="188" w:name="_Toc256000188"/>
      <w:r>
        <w:t>М01 — Трансфер на знания и действия за осведомяване (член 14)</w:t>
      </w:r>
      <w:bookmarkEnd w:id="188"/>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360 000,00</w:t>
      </w:r>
    </w:p>
    <w:p>
      <w:r>
        <w:t xml:space="preserve">Национално съфинансиране (в евро): </w:t>
      </w:r>
      <w:r>
        <w:t>40 000,00</w:t>
      </w:r>
    </w:p>
    <w:p>
      <w:r>
        <w:t xml:space="preserve">Допълнително национално финансиране (в евро): </w:t>
      </w:r>
    </w:p>
    <w:p>
      <w:r>
        <w:t xml:space="preserve">Общо (в EUR): </w:t>
      </w:r>
      <w:r>
        <w:t>400 000,00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189" w:name="_Toc256000189"/>
      <w:r>
        <w:t>М02 —  Консултантски услуги, услуги по управление на стопанство и услуги по заместване в стопанство (член 15)</w:t>
      </w:r>
      <w:bookmarkEnd w:id="189"/>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190" w:name="_Toc256000190"/>
      <w:r>
        <w:t>М02 —  Консултантски услуги, услуги по управление на стопанство и услуги по заместване в стопанство (член 15)</w:t>
      </w:r>
      <w:bookmarkEnd w:id="190"/>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191" w:name="_Toc256000191"/>
      <w:r>
        <w:t>M04 — Инвестиции в материални активи (член 17)</w:t>
      </w:r>
      <w:bookmarkEnd w:id="191"/>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21 250 000,00</w:t>
      </w:r>
    </w:p>
    <w:p>
      <w:r>
        <w:t xml:space="preserve">Национално съфинансиране (в евро): </w:t>
      </w:r>
      <w:r>
        <w:t>3 750 000,00</w:t>
      </w:r>
    </w:p>
    <w:p>
      <w:r>
        <w:t xml:space="preserve">Допълнително национално финансиране (в евро): </w:t>
      </w:r>
    </w:p>
    <w:p>
      <w:r>
        <w:t xml:space="preserve">Общо (в EUR): </w:t>
      </w:r>
      <w:r>
        <w:t>25 000 000,00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ще се предоставя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192" w:name="_Toc256000192"/>
      <w:r>
        <w:t>M06 — Развитие на стопанства и предприятия (член 19)</w:t>
      </w:r>
      <w:bookmarkEnd w:id="192"/>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193" w:name="_Toc256000193"/>
      <w:r>
        <w:t>М07 — Основни услуги и обновяване на селата в селските райони (член 20)</w:t>
      </w:r>
      <w:bookmarkEnd w:id="193"/>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194" w:name="_Toc256000194"/>
      <w:r>
        <w:t>М07 — Основни услуги и обновяване на селата в селските райони (член 20)</w:t>
      </w:r>
      <w:bookmarkEnd w:id="194"/>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195" w:name="_Toc256000195"/>
      <w:r>
        <w:t>М07 — Основни услуги и обновяване на селата в селските райони (член 20)</w:t>
      </w:r>
      <w:bookmarkEnd w:id="195"/>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196" w:name="_Toc256000196"/>
      <w:r>
        <w:t>М08 — Инвестиции в развитие на горските райони и подобряване на жизнеспособността на горите (членове 21 — 26)</w:t>
      </w:r>
      <w:bookmarkEnd w:id="196"/>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197" w:name="_Toc256000197"/>
      <w:r>
        <w:t>М08 — Инвестиции в развитие на горските райони и подобряване на жизнеспособността на горите (членове 21 — 26)</w:t>
      </w:r>
      <w:bookmarkEnd w:id="197"/>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198" w:name="_Toc256000198"/>
      <w:r>
        <w:t>М08 — Инвестиции в развитие на горските райони и подобряване на жизнеспособността на горите (членове 21 — 26)</w:t>
      </w:r>
      <w:bookmarkEnd w:id="198"/>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199" w:name="_Toc256000199"/>
      <w:r>
        <w:t>М08 — Инвестиции в развитие на горските райони и подобряване на жизнеспособността на горите (членове 21 — 26)</w:t>
      </w:r>
      <w:bookmarkEnd w:id="199"/>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0" w:name="_Toc256000200"/>
      <w:r>
        <w:t>M09 — Създаване на групи и организации на производителите (член 27)</w:t>
      </w:r>
      <w:bookmarkEnd w:id="200"/>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1" w:name="_Toc256000201"/>
      <w:r>
        <w:t>M10 — Агроекология и климат (член 28)</w:t>
      </w:r>
      <w:bookmarkEnd w:id="201"/>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2" w:name="_Toc256000202"/>
      <w:r>
        <w:t>М11 — Биологично земеделие (член 29)</w:t>
      </w:r>
      <w:bookmarkEnd w:id="202"/>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3" w:name="_Toc256000203"/>
      <w:r>
        <w:t>M12 — Плащания по „Натура 2000“ и Рамковата директива за водите (член 30)</w:t>
      </w:r>
      <w:bookmarkEnd w:id="20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4" w:name="_Toc256000204"/>
      <w:r>
        <w:t>М13 — Плащания за райони, изправени пред природни или други специфични ограничения (член 31)</w:t>
      </w:r>
      <w:bookmarkEnd w:id="204"/>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5" w:name="_Toc256000205"/>
      <w:r>
        <w:t>M14 — Хуманно отношение към животните (член 33)</w:t>
      </w:r>
      <w:bookmarkEnd w:id="205"/>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6" w:name="_Toc256000206"/>
      <w:r>
        <w:t>М15 — Екологични услуги и услуги във връзка с климата в горското стопанство и опазване на горите (член 34)</w:t>
      </w:r>
      <w:bookmarkEnd w:id="206"/>
    </w:p>
    <w:p>
      <w:r>
        <w:t>Наименование на схемата за помощ</w:t>
      </w:r>
      <w:r>
        <w:t>: Помощ за горскоекологични услуги и услуги във връзка с климата в горското стопанство и опазване на горите</w:t>
      </w:r>
    </w:p>
    <w:p>
      <w:r>
        <w:t xml:space="preserve">ЕЗФРСР (в евро): </w:t>
      </w:r>
      <w:r>
        <w:t>6 562 500,00</w:t>
      </w:r>
    </w:p>
    <w:p>
      <w:r>
        <w:t xml:space="preserve">Национално съфинансиране (в евро): </w:t>
      </w:r>
      <w:r>
        <w:t>2 187 500,00</w:t>
      </w:r>
    </w:p>
    <w:p>
      <w:r>
        <w:t xml:space="preserve">Допълнително национално финансиране (в евро): </w:t>
      </w:r>
    </w:p>
    <w:p>
      <w:r>
        <w:t xml:space="preserve">Общо (в EUR): </w:t>
      </w:r>
      <w:r>
        <w:t>8 750 000,00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осъществява и за двете подмерки 15.1. „Плащания за горски екологични ангажименти“ и 15.2. „Подпомагане за запазване и поддръжка на горски генетични ресурси“.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7" w:name="_Toc256000207"/>
      <w:r>
        <w:t>M16 — Сътрудничество (член 35)</w:t>
      </w:r>
      <w:bookmarkEnd w:id="207"/>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8" w:name="_Toc256000208"/>
      <w:r>
        <w:t>M16 — Сътрудничество (член 35)</w:t>
      </w:r>
      <w:bookmarkEnd w:id="208"/>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9" w:name="_Toc256000209"/>
      <w:r>
        <w:t>M19 — Подкрепа за местно развитие по LEADER (ВОМР — водено от общностите местно развитие) (член 35 от Регламент (ЕС) № 1303/2013)</w:t>
      </w:r>
      <w:bookmarkEnd w:id="209"/>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10" w:name="_Toc256000210"/>
      <w:r>
        <w:t>Информация относно взаимното допълване</w:t>
      </w:r>
      <w:bookmarkEnd w:id="210"/>
    </w:p>
    <w:p>
      <w:pPr>
        <w:pStyle w:val="Heading2"/>
      </w:pPr>
      <w:bookmarkStart w:id="211" w:name="_Toc256000211"/>
      <w:r>
        <w:t>Описание на средствата за осигуряване на допълняемост и съгласуваност със:</w:t>
      </w:r>
      <w:bookmarkEnd w:id="211"/>
      <w:r>
        <w:t xml:space="preserve"> </w:t>
      </w:r>
    </w:p>
    <w:p>
      <w:pPr>
        <w:pStyle w:val="Heading3"/>
        <w:jc w:val="left"/>
        <w:rPr>
          <w:b w:val="0"/>
        </w:rPr>
      </w:pPr>
      <w:bookmarkStart w:id="212" w:name="_Toc256000212"/>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1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Оперативна програма „Наука и образование за интелигентен растеж“</w:t>
            </w:r>
            <w:r>
              <w:rPr>
                <w:rStyle w:val="DefaultParagraphFont"/>
                <w:rFonts w:ascii="Times New Roman" w:eastAsia="Times New Roman" w:hAnsi="Times New Roman" w:cs="Times New Roman"/>
                <w:b/>
                <w:bCs/>
                <w:szCs w:val="24"/>
              </w:rPr>
              <w:t xml:space="preserve"> (ОП НОИР)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Изследователска дейност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Оперативна </w:t>
            </w:r>
            <w:r>
              <w:rPr>
                <w:rStyle w:val="DefaultParagraphFont"/>
                <w:rFonts w:ascii="Times New Roman" w:eastAsia="Times New Roman" w:hAnsi="Times New Roman" w:cs="Times New Roman"/>
                <w:b/>
                <w:bCs/>
                <w:szCs w:val="24"/>
              </w:rPr>
              <w:t>програма Региони в растеж</w:t>
            </w: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 xml:space="preserve"> (ОПРР):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Подкрепата за </w:t>
            </w:r>
            <w:r>
              <w:rPr>
                <w:rStyle w:val="DefaultParagraphFont"/>
                <w:rFonts w:ascii="Times New Roman" w:eastAsia="Times New Roman" w:hAnsi="Times New Roman" w:cs="Times New Roman"/>
                <w:b/>
                <w:bCs/>
                <w:szCs w:val="24"/>
              </w:rPr>
              <w:t xml:space="preserve">иновации </w:t>
            </w:r>
            <w:r>
              <w:rPr>
                <w:rStyle w:val="DefaultParagraphFont"/>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отношение на </w:t>
            </w:r>
            <w:r>
              <w:rPr>
                <w:rStyle w:val="DefaultParagraphFont"/>
                <w:rFonts w:ascii="Times New Roman" w:eastAsia="Times New Roman" w:hAnsi="Times New Roman" w:cs="Times New Roman"/>
                <w:b/>
                <w:bCs/>
                <w:szCs w:val="24"/>
              </w:rPr>
              <w:t>подкрепата за МСП и стартиращи предприятия</w:t>
            </w:r>
            <w:r>
              <w:rPr>
                <w:rStyle w:val="DefaultParagraphFont"/>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отношение на </w:t>
            </w:r>
            <w:r>
              <w:rPr>
                <w:rStyle w:val="DefaultParagraphFont"/>
                <w:rFonts w:ascii="Times New Roman" w:eastAsia="Times New Roman" w:hAnsi="Times New Roman" w:cs="Times New Roman"/>
                <w:b/>
                <w:bCs/>
                <w:szCs w:val="24"/>
              </w:rPr>
              <w:t>енергийната ефективност</w:t>
            </w:r>
            <w:r>
              <w:rPr>
                <w:rStyle w:val="DefaultParagraphFont"/>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Оперативна програма „Околна среда“ (ОПОС)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Интервенции, свързани с управление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 „Добро управление“ и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ОП “Морско дело и рибарство”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w:t>
            </w:r>
            <w:r>
              <w:rPr>
                <w:rStyle w:val="DefaultParagraphFont"/>
                <w:rFonts w:ascii="Times New Roman" w:eastAsia="Times New Roman" w:hAnsi="Times New Roman" w:cs="Times New Roman"/>
                <w:i/>
                <w:iCs/>
                <w:szCs w:val="24"/>
              </w:rPr>
              <w:t>сектор „Плодове и зеленчуци“</w:t>
            </w:r>
            <w:r>
              <w:rPr>
                <w:rStyle w:val="DefaultParagraphFont"/>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w:t>
            </w:r>
            <w:r>
              <w:rPr>
                <w:rStyle w:val="DefaultParagraphFont"/>
                <w:rFonts w:ascii="Times New Roman" w:eastAsia="Times New Roman" w:hAnsi="Times New Roman" w:cs="Times New Roman"/>
                <w:i/>
                <w:iCs/>
                <w:szCs w:val="24"/>
              </w:rPr>
              <w:t>сектор „Вино“</w:t>
            </w:r>
            <w:r>
              <w:rPr>
                <w:rStyle w:val="DefaultParagraphFont"/>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w:t>
            </w:r>
            <w:r>
              <w:rPr>
                <w:rStyle w:val="DefaultParagraphFont"/>
                <w:rFonts w:ascii="Times New Roman" w:eastAsia="Times New Roman" w:hAnsi="Times New Roman" w:cs="Times New Roman"/>
                <w:i/>
                <w:iCs/>
                <w:szCs w:val="24"/>
              </w:rPr>
              <w:t>сектор „Пчеларство“</w:t>
            </w:r>
            <w:r>
              <w:rPr>
                <w:rStyle w:val="DefaultParagraphFont"/>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Инвестиционни дейности няма да бъдат подпомагани в </w:t>
            </w:r>
            <w:r>
              <w:rPr>
                <w:rStyle w:val="DefaultParagraphFont"/>
                <w:rFonts w:ascii="Times New Roman" w:eastAsia="Times New Roman" w:hAnsi="Times New Roman" w:cs="Times New Roman"/>
                <w:i/>
                <w:iCs/>
                <w:szCs w:val="24"/>
              </w:rPr>
              <w:t>сектор „Тютюн“.</w:t>
            </w:r>
            <w:r>
              <w:rPr>
                <w:rStyle w:val="DefaultParagraphFont"/>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Производството, преработката и маркетинга на </w:t>
            </w:r>
            <w:r>
              <w:rPr>
                <w:rStyle w:val="DefaultParagraphFont"/>
                <w:rFonts w:ascii="Times New Roman" w:eastAsia="Times New Roman" w:hAnsi="Times New Roman" w:cs="Times New Roman"/>
                <w:i/>
                <w:iCs/>
                <w:szCs w:val="24"/>
              </w:rPr>
              <w:t>зехтин</w:t>
            </w:r>
            <w:r>
              <w:rPr>
                <w:rStyle w:val="DefaultParagraphFont"/>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Style w:val="DefaultParagraphFont"/>
                <w:rFonts w:ascii="Times New Roman" w:eastAsia="Times New Roman" w:hAnsi="Times New Roman" w:cs="Times New Roman"/>
                <w:i/>
                <w:iCs/>
                <w:szCs w:val="24"/>
              </w:rPr>
              <w:t>захар и/или сладкарски изделия</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Мерките в </w:t>
            </w:r>
            <w:r>
              <w:rPr>
                <w:rStyle w:val="DefaultParagraphFont"/>
                <w:rFonts w:ascii="Times New Roman" w:eastAsia="Times New Roman" w:hAnsi="Times New Roman" w:cs="Times New Roman"/>
                <w:b/>
                <w:bCs/>
                <w:szCs w:val="24"/>
              </w:rPr>
              <w:t>Първи и Втори стълб на ОСП</w:t>
            </w:r>
            <w:r>
              <w:rPr>
                <w:rStyle w:val="DefaultParagraphFont"/>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отношение на </w:t>
            </w:r>
            <w:r>
              <w:rPr>
                <w:rStyle w:val="DefaultParagraphFont"/>
                <w:rFonts w:ascii="Times New Roman" w:eastAsia="Times New Roman" w:hAnsi="Times New Roman" w:cs="Times New Roman"/>
                <w:i/>
                <w:iCs/>
                <w:szCs w:val="24"/>
              </w:rPr>
              <w:t>младите фермери</w:t>
            </w:r>
            <w:r>
              <w:rPr>
                <w:rStyle w:val="DefaultParagraphFont"/>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отношение на </w:t>
            </w:r>
            <w:r>
              <w:rPr>
                <w:rStyle w:val="DefaultParagraphFont"/>
                <w:rFonts w:ascii="Times New Roman" w:eastAsia="Times New Roman" w:hAnsi="Times New Roman" w:cs="Times New Roman"/>
                <w:i/>
                <w:iCs/>
                <w:szCs w:val="24"/>
              </w:rPr>
              <w:t>схемата за малките стопанства</w:t>
            </w:r>
            <w:r>
              <w:rPr>
                <w:rStyle w:val="DefaultParagraphFont"/>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Първи стълб на ОСП</w:t>
            </w:r>
            <w:r>
              <w:rPr>
                <w:rStyle w:val="DefaultParagraphFont"/>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13" w:name="_Toc256000213"/>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1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14" w:name="_Toc256000214"/>
      <w:r>
        <w:rPr>
          <w:b w:val="0"/>
        </w:rPr>
        <w:t>Когато е целесъобразно, информация за взаимното допълване с други финансови инструменти на Съюза, включително програма LIFE</w:t>
      </w:r>
      <w:bookmarkEnd w:id="21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Style w:val="DefaultParagraphFont"/>
                <w:rFonts w:ascii="Times New Roman" w:eastAsia="Times New Roman" w:hAnsi="Times New Roman" w:cs="Times New Roman"/>
                <w:szCs w:val="24"/>
              </w:rPr>
              <w:br/>
            </w: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ПС ИНТЕРРЕГ ЕВРОПА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ОП „УРБАКТ III”</w:t>
            </w:r>
            <w:r>
              <w:rPr>
                <w:rStyle w:val="DefaultParagraphFont"/>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Style w:val="DefaultParagraphFont"/>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Style w:val="DefaultParagraphFont"/>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15" w:name="_Toc256000215"/>
      <w:r>
        <w:t>Организация за изпълнението на програмата</w:t>
      </w:r>
      <w:bookmarkEnd w:id="215"/>
    </w:p>
    <w:p>
      <w:pPr>
        <w:pStyle w:val="Heading2"/>
      </w:pPr>
      <w:bookmarkStart w:id="216" w:name="_Toc256000216"/>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16"/>
    </w:p>
    <w:p>
      <w:pPr>
        <w:pStyle w:val="Heading3"/>
        <w:jc w:val="left"/>
        <w:rPr>
          <w:b w:val="0"/>
        </w:rPr>
      </w:pPr>
      <w:bookmarkStart w:id="217" w:name="_Toc256000217"/>
      <w:r>
        <w:rPr>
          <w:b w:val="0"/>
        </w:rPr>
        <w:t>Органи</w:t>
      </w:r>
      <w:bookmarkEnd w:id="2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0"/>
        <w:gridCol w:w="2000"/>
        <w:gridCol w:w="1839"/>
        <w:gridCol w:w="1780"/>
        <w:gridCol w:w="302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50" w:type="pct"/>
            <w:shd w:val="clear" w:color="auto" w:fill="C0C0C0"/>
            <w:noWrap w:val="0"/>
            <w:tcMar>
              <w:top w:w="60" w:type="dxa"/>
            </w:tcMar>
            <w:vAlign w:val="top"/>
          </w:tcPr>
          <w:p>
            <w:pPr>
              <w:jc w:val="center"/>
              <w:rPr>
                <w:b/>
                <w:sz w:val="20"/>
              </w:rPr>
            </w:pPr>
            <w:r>
              <w:rPr>
                <w:b/>
                <w:sz w:val="20"/>
              </w:rPr>
              <w:t>Орган</w:t>
            </w:r>
          </w:p>
        </w:tc>
        <w:tc>
          <w:tcPr>
            <w:tcW w:w="650" w:type="pct"/>
            <w:shd w:val="clear" w:color="auto" w:fill="C0C0C0"/>
            <w:noWrap w:val="0"/>
            <w:tcMar>
              <w:top w:w="60" w:type="dxa"/>
            </w:tcMar>
            <w:vAlign w:val="top"/>
          </w:tcPr>
          <w:p>
            <w:pPr>
              <w:jc w:val="center"/>
              <w:rPr>
                <w:b/>
                <w:sz w:val="20"/>
              </w:rPr>
            </w:pPr>
            <w:r>
              <w:rPr>
                <w:b/>
                <w:sz w:val="20"/>
              </w:rPr>
              <w:t>Наименование на органа</w:t>
            </w:r>
          </w:p>
        </w:tc>
        <w:tc>
          <w:tcPr>
            <w:tcW w:w="650" w:type="pct"/>
            <w:shd w:val="clear" w:color="auto" w:fill="C0C0C0"/>
            <w:noWrap w:val="0"/>
            <w:tcMar>
              <w:top w:w="60" w:type="dxa"/>
            </w:tcMar>
            <w:vAlign w:val="top"/>
          </w:tcPr>
          <w:p>
            <w:pPr>
              <w:jc w:val="center"/>
              <w:rPr>
                <w:b/>
                <w:sz w:val="20"/>
              </w:rPr>
            </w:pPr>
            <w:r>
              <w:rPr>
                <w:b/>
                <w:sz w:val="20"/>
              </w:rPr>
              <w:t>Ръководител на органа</w:t>
            </w:r>
          </w:p>
        </w:tc>
        <w:tc>
          <w:tcPr>
            <w:tcW w:w="650" w:type="pct"/>
            <w:shd w:val="clear" w:color="auto" w:fill="C0C0C0"/>
            <w:noWrap w:val="0"/>
            <w:tcMar>
              <w:top w:w="60" w:type="dxa"/>
            </w:tcMar>
            <w:vAlign w:val="top"/>
          </w:tcPr>
          <w:p>
            <w:pPr>
              <w:jc w:val="center"/>
              <w:rPr>
                <w:b/>
                <w:sz w:val="20"/>
              </w:rPr>
            </w:pPr>
            <w:r>
              <w:rPr>
                <w:b/>
                <w:sz w:val="20"/>
              </w:rPr>
              <w:t>Адрес</w:t>
            </w:r>
          </w:p>
        </w:tc>
        <w:tc>
          <w:tcPr>
            <w:tcW w:w="650" w:type="pct"/>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Managing authority</w:t>
            </w:r>
          </w:p>
        </w:tc>
        <w:tc>
          <w:tcPr>
            <w:tcW w:w="650" w:type="pct"/>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 и храните.</w:t>
            </w:r>
          </w:p>
        </w:tc>
        <w:tc>
          <w:tcPr>
            <w:tcW w:w="650" w:type="pct"/>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650" w:type="pct"/>
            <w:shd w:val="clear" w:color="auto" w:fill="FFFFFF"/>
            <w:noWrap w:val="0"/>
            <w:tcMar>
              <w:top w:w="60" w:type="dxa"/>
            </w:tcMar>
            <w:vAlign w:val="top"/>
          </w:tcPr>
          <w:p>
            <w:pPr>
              <w:jc w:val="left"/>
              <w:rPr>
                <w:b w:val="0"/>
                <w:sz w:val="16"/>
              </w:rPr>
            </w:pPr>
            <w:r>
              <w:rPr>
                <w:b w:val="0"/>
                <w:sz w:val="16"/>
              </w:rPr>
              <w:t>бул. "Христо Ботев" 55, София 1040</w:t>
            </w:r>
          </w:p>
        </w:tc>
        <w:tc>
          <w:tcPr>
            <w:tcW w:w="650" w:type="pct"/>
            <w:shd w:val="clear" w:color="auto" w:fill="FFFFFF"/>
            <w:noWrap w:val="0"/>
            <w:tcMar>
              <w:top w:w="60" w:type="dxa"/>
            </w:tcMar>
            <w:vAlign w:val="top"/>
          </w:tcPr>
          <w:p>
            <w:pPr>
              <w:jc w:val="left"/>
              <w:rPr>
                <w:b w:val="0"/>
                <w:sz w:val="16"/>
              </w:rPr>
            </w:pPr>
            <w:r>
              <w:rPr>
                <w:b w:val="0"/>
                <w:sz w:val="16"/>
              </w:rPr>
              <w:t>AVAsparuhov@mzh.government.bg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Certification body</w:t>
            </w:r>
          </w:p>
        </w:tc>
        <w:tc>
          <w:tcPr>
            <w:tcW w:w="650" w:type="pct"/>
            <w:shd w:val="clear" w:color="auto" w:fill="FFFFFF"/>
            <w:noWrap w:val="0"/>
            <w:tcMar>
              <w:top w:w="60" w:type="dxa"/>
            </w:tcMar>
            <w:vAlign w:val="top"/>
          </w:tcPr>
          <w:p>
            <w:pPr>
              <w:jc w:val="left"/>
              <w:rPr>
                <w:b w:val="0"/>
                <w:sz w:val="16"/>
              </w:rPr>
            </w:pPr>
            <w:r>
              <w:rPr>
                <w:b w:val="0"/>
                <w:sz w:val="16"/>
              </w:rPr>
              <w:t>В процес на избор на изпълнител.</w:t>
            </w:r>
          </w:p>
        </w:tc>
        <w:tc>
          <w:tcPr>
            <w:tcW w:w="650" w:type="pct"/>
            <w:shd w:val="clear" w:color="auto" w:fill="FFFFFF"/>
            <w:noWrap w:val="0"/>
            <w:tcMar>
              <w:top w:w="60" w:type="dxa"/>
            </w:tcMar>
            <w:vAlign w:val="top"/>
          </w:tcPr>
          <w:p>
            <w:pPr>
              <w:jc w:val="left"/>
              <w:rPr>
                <w:b w:val="0"/>
                <w:sz w:val="16"/>
              </w:rPr>
            </w:pPr>
            <w:r>
              <w:rPr>
                <w:b w:val="0"/>
                <w:sz w:val="16"/>
              </w:rPr>
              <w:t>Информацията ще бъде посочена на по-късен етап</w:t>
            </w:r>
          </w:p>
        </w:tc>
        <w:tc>
          <w:tcPr>
            <w:tcW w:w="650" w:type="pct"/>
            <w:shd w:val="clear" w:color="auto" w:fill="FFFFFF"/>
            <w:noWrap w:val="0"/>
            <w:tcMar>
              <w:top w:w="60" w:type="dxa"/>
            </w:tcMar>
            <w:vAlign w:val="top"/>
          </w:tcPr>
          <w:p>
            <w:pPr>
              <w:jc w:val="left"/>
              <w:rPr>
                <w:b w:val="0"/>
                <w:sz w:val="16"/>
              </w:rPr>
            </w:pPr>
            <w:r>
              <w:rPr>
                <w:b w:val="0"/>
                <w:sz w:val="16"/>
              </w:rPr>
              <w:t>Информацията ще бъде посочена на по-късен етап</w:t>
            </w:r>
          </w:p>
        </w:tc>
        <w:tc>
          <w:tcPr>
            <w:tcW w:w="650" w:type="pct"/>
            <w:shd w:val="clear" w:color="auto" w:fill="FFFFFF"/>
            <w:noWrap w:val="0"/>
            <w:tcMar>
              <w:top w:w="60" w:type="dxa"/>
            </w:tcMar>
            <w:vAlign w:val="top"/>
          </w:tcPr>
          <w:p>
            <w:pPr>
              <w:jc w:val="left"/>
              <w:rPr>
                <w:b w:val="0"/>
                <w:sz w:val="16"/>
              </w:rPr>
            </w:pPr>
            <w:r>
              <w:rPr>
                <w:b w:val="0"/>
                <w:sz w:val="16"/>
              </w:rPr>
              <w:t>dsimeonov@mzh.government.bg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Accredited paying agency</w:t>
            </w:r>
          </w:p>
        </w:tc>
        <w:tc>
          <w:tcPr>
            <w:tcW w:w="650" w:type="pct"/>
            <w:shd w:val="clear" w:color="auto" w:fill="FFFFFF"/>
            <w:noWrap w:val="0"/>
            <w:tcMar>
              <w:top w:w="60" w:type="dxa"/>
            </w:tcMar>
            <w:vAlign w:val="top"/>
          </w:tcPr>
          <w:p>
            <w:pPr>
              <w:jc w:val="left"/>
              <w:rPr>
                <w:b w:val="0"/>
                <w:sz w:val="16"/>
              </w:rPr>
            </w:pPr>
            <w:r>
              <w:rPr>
                <w:b w:val="0"/>
                <w:sz w:val="16"/>
              </w:rPr>
              <w:t>Държавен Фонд "Земеделие" - РА</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бул."Цар Борис III" 136, София 1618</w:t>
            </w:r>
          </w:p>
        </w:tc>
        <w:tc>
          <w:tcPr>
            <w:tcW w:w="650" w:type="pct"/>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18" w:name="_Toc256000218"/>
      <w:r>
        <w:rPr>
          <w:b w:val="0"/>
        </w:rPr>
        <w:t>Кратко описание на структурата за управление и контрол на програмата и на процедурите за независимо разглеждане на жалби</w:t>
      </w:r>
      <w:bookmarkEnd w:id="218"/>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48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Управляващ орган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Дирекция “Развитие на селските райони” в Министерство на земеделието и храните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Style w:val="DefaultParagraphFont"/>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Ръководител на Управляващия орган е заместник-министър, отговорен за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Органиграма на УО е в Приложение 4 към Раздел 15.1.</w:t>
            </w:r>
          </w:p>
          <w:p>
            <w:pPr>
              <w:numPr>
                <w:ilvl w:val="0"/>
                <w:numId w:val="48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Разплащателна агенция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48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4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4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са извършени проверките, предвидени в законодателството на ЕС;</w:t>
            </w:r>
          </w:p>
          <w:p>
            <w:pPr>
              <w:numPr>
                <w:ilvl w:val="0"/>
                <w:numId w:val="4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са представени в срок изискуемите документи;</w:t>
            </w:r>
          </w:p>
          <w:p>
            <w:pPr>
              <w:numPr>
                <w:ilvl w:val="0"/>
                <w:numId w:val="48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нормативно регламентирани проверки. Изключения правят мерките, за които се вземе решение за прилагане по децентрализиран подход.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48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Структури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РА </w:t>
            </w:r>
            <w:r>
              <w:rPr>
                <w:rStyle w:val="DefaultParagraphFont"/>
                <w:rFonts w:ascii="Times New Roman" w:eastAsia="Times New Roman" w:hAnsi="Times New Roman" w:cs="Times New Roman"/>
                <w:szCs w:val="24"/>
              </w:rPr>
              <w:t xml:space="preserve">извършва </w:t>
            </w:r>
            <w:r>
              <w:rPr>
                <w:rStyle w:val="DefaultParagraphFont"/>
                <w:rFonts w:ascii="Times New Roman" w:eastAsia="Times New Roman" w:hAnsi="Times New Roman" w:cs="Times New Roman"/>
                <w:b/>
                <w:bCs/>
                <w:szCs w:val="24"/>
              </w:rPr>
              <w:t>административен контрол</w:t>
            </w:r>
            <w:r>
              <w:rPr>
                <w:rStyle w:val="DefaultParagraphFont"/>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Style w:val="DefaultParagraphFont"/>
                <w:rFonts w:ascii="Times New Roman" w:eastAsia="Times New Roman" w:hAnsi="Times New Roman" w:cs="Times New Roman"/>
                <w:b/>
                <w:bCs/>
                <w:szCs w:val="24"/>
              </w:rPr>
              <w:t>административни проверки</w:t>
            </w:r>
            <w:r>
              <w:rPr>
                <w:rStyle w:val="DefaultParagraphFont"/>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Style w:val="DefaultParagraphFont"/>
                <w:rFonts w:ascii="Times New Roman" w:eastAsia="Times New Roman" w:hAnsi="Times New Roman" w:cs="Times New Roman"/>
                <w:b/>
                <w:bCs/>
                <w:szCs w:val="24"/>
              </w:rPr>
              <w:t>проверки на място</w:t>
            </w:r>
            <w:r>
              <w:rPr>
                <w:rStyle w:val="DefaultParagraphFont"/>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Сертифициращ орган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МЗХ е стартирана процедура за избор на изпълнител, който ще изпълнява функциите на Сертифициращ орган, в съответствие с чл.9 от Регламент (EC)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Централно координационно звено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МЕХАНИЗЪМ ЗА РАЗГЛЕЖДАНЕ НА ЖАЛБИ ВЪВ ВРЪЗКА С ЧЛ. 74, Т. 3 НА РЕГЛАМЕНТ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Република България Административно процесуалния кодекс (АПК) е нормативния акт, които урежда реда на обжалване на административни актове, с които РА или МЗХ одобряват или отхвърлят заявките за подпомагане по ПРСР 2007-2013 г. и ПРСР 2014-2020 г. Създадени са две възможности за обжалване на издадените актове във връзка с предоставяне на финансовата помощ по ПРСР: пред по-горестоящ административен орган и по съдебен ред.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действащият в момента Закон за подпомагане на земеделските производители, чл. 29, ал.3 министъра на земеделието и храните е по-горестоящ спрямо решението на ДФЗ-РА за пълен или частичен отказ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чл. 25, ал. 4 от Закона за администрацията, чл. 29, ал. 3 от Закона за подпомагане на земеделските производители, чл. 2, ал. 3 от Закона за прилагане на общата организация на пазарите на земеделските продукти на Европейския съюз и чл. 6, ал. 2 от Закона за рибарството и аквакултурите е сформирана комисия за разглеждане на жалби на бенефициенти по ПРСР 2014-2020 г. При постъпване на конкретна жалба в МЗХ, тя се разпределя към дирекция „Административно и правно обслужване“. Комисия назначена със заповед на министъра на земеделието и храните РД 09-45/23.01.2015 г. с председател директора на дирекция АПО и състав от експерти служители на МЗХ разглежда жалбата. В случай, че жалбата засяга въпрос свързан с ПРСР 2014-2020 г. се изисква писмено становище на експерт от УО в срок от 5 дни. Становището на експерта от УО се докладва и разглежда от Комисията на присъствено заседание. Въз основа на решението на Комисията, членовете на Комисията от дирекция АПО изготвят проекти на актове на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Втората възможност пред бенефициентите е да обжалват директно по съдебен ред.</w:t>
            </w:r>
          </w:p>
          <w:p>
            <w:pPr>
              <w:pStyle w:val="BodyText"/>
              <w:jc w:val="both"/>
              <w:rPr>
                <w:b w:val="0"/>
              </w:rPr>
            </w:pPr>
          </w:p>
        </w:tc>
      </w:tr>
    </w:tbl>
    <w:p>
      <w:pPr>
        <w:pStyle w:val="Heading2"/>
        <w:rPr>
          <w:b w:val="0"/>
        </w:rPr>
      </w:pPr>
      <w:bookmarkStart w:id="219" w:name="_Toc256000219"/>
      <w:r>
        <w:rPr>
          <w:b w:val="0"/>
        </w:rPr>
        <w:t>Предлаган състав на мониторинговия комитет</w:t>
      </w:r>
      <w:bookmarkEnd w:id="21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 74 от Регламент (EC) № 1305/2013, КН:</w:t>
            </w:r>
          </w:p>
          <w:p>
            <w:pPr>
              <w:numPr>
                <w:ilvl w:val="0"/>
                <w:numId w:val="48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4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4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4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4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4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4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48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48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48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4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и социални партньори;</w:t>
            </w:r>
          </w:p>
          <w:p>
            <w:pPr>
              <w:numPr>
                <w:ilvl w:val="0"/>
                <w:numId w:val="4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Академичната общност;</w:t>
            </w:r>
          </w:p>
          <w:p>
            <w:pPr>
              <w:numPr>
                <w:ilvl w:val="0"/>
                <w:numId w:val="4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4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48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0" w:name="_Toc256000220"/>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2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48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Style w:val="DefaultParagraphFont"/>
                <w:rFonts w:ascii="Times New Roman" w:eastAsia="Times New Roman" w:hAnsi="Times New Roman" w:cs="Times New Roman"/>
                <w:i/>
                <w:iCs/>
                <w:szCs w:val="24"/>
              </w:rPr>
              <w:t>информационни семинари/тематични кампании</w:t>
            </w:r>
            <w:r>
              <w:rPr>
                <w:rStyle w:val="DefaultParagraphFont"/>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Style w:val="DefaultParagraphFont"/>
                <w:rFonts w:ascii="Times New Roman" w:eastAsia="Times New Roman" w:hAnsi="Times New Roman" w:cs="Times New Roman"/>
                <w:i/>
                <w:iCs/>
                <w:szCs w:val="24"/>
              </w:rPr>
              <w:t>рекламно-информационни материали</w:t>
            </w:r>
            <w:r>
              <w:rPr>
                <w:rStyle w:val="DefaultParagraphFont"/>
                <w:rFonts w:ascii="Times New Roman" w:eastAsia="Times New Roman" w:hAnsi="Times New Roman" w:cs="Times New Roman"/>
                <w:szCs w:val="24"/>
              </w:rPr>
              <w:t xml:space="preserve"> по Програмата (2007-13 г.), както и опитът от участия в </w:t>
            </w:r>
            <w:r>
              <w:rPr>
                <w:rStyle w:val="DefaultParagraphFont"/>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Style w:val="DefaultParagraphFont"/>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Цел на информационните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Управляващият орган има за цел:</w:t>
            </w:r>
          </w:p>
          <w:p>
            <w:pPr>
              <w:numPr>
                <w:ilvl w:val="0"/>
                <w:numId w:val="487"/>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48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48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487"/>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Целеви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Информационните дейности ще осигурят </w:t>
            </w:r>
            <w:r>
              <w:rPr>
                <w:rStyle w:val="DefaultParagraphFont"/>
                <w:rFonts w:ascii="Times New Roman" w:eastAsia="Times New Roman" w:hAnsi="Times New Roman" w:cs="Times New Roman"/>
                <w:b/>
                <w:bCs/>
                <w:szCs w:val="24"/>
              </w:rPr>
              <w:t>прозрачност</w:t>
            </w:r>
            <w:r>
              <w:rPr>
                <w:rStyle w:val="DefaultParagraphFont"/>
                <w:rFonts w:ascii="Times New Roman" w:eastAsia="Times New Roman" w:hAnsi="Times New Roman" w:cs="Times New Roman"/>
                <w:szCs w:val="24"/>
              </w:rPr>
              <w:t xml:space="preserve"> и </w:t>
            </w:r>
            <w:r>
              <w:rPr>
                <w:rStyle w:val="DefaultParagraphFont"/>
                <w:rFonts w:ascii="Times New Roman" w:eastAsia="Times New Roman" w:hAnsi="Times New Roman" w:cs="Times New Roman"/>
                <w:b/>
                <w:bCs/>
                <w:szCs w:val="24"/>
              </w:rPr>
              <w:t>ще информират</w:t>
            </w:r>
            <w:r>
              <w:rPr>
                <w:rStyle w:val="DefaultParagraphFont"/>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48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Потенциални  бенефициенти;</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и социални партньори;</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Образователните и научноизследователските институции;</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Регионални, местни и публични власти; </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Центрове, асоциации, клубове с нестопанска цел;</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Представителството на ЕС за България;</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организации;</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Медии;</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 групи и изследователи;</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Широката общественост;</w:t>
            </w:r>
          </w:p>
          <w:p>
            <w:pPr>
              <w:numPr>
                <w:ilvl w:val="0"/>
                <w:numId w:val="48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УО на ОП прилагащи ЕСИФ.</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Индикативен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Информационни дейности и фази на Комуникационния план</w:t>
            </w:r>
          </w:p>
          <w:p>
            <w:pPr>
              <w:numPr>
                <w:ilvl w:val="0"/>
                <w:numId w:val="48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Информационн</w:t>
            </w:r>
            <w:r>
              <w:rPr>
                <w:rStyle w:val="DefaultParagraphFont"/>
                <w:rFonts w:ascii="Times New Roman" w:eastAsia="Times New Roman" w:hAnsi="Times New Roman" w:cs="Times New Roman"/>
                <w:b/>
                <w:bCs/>
                <w:i/>
                <w:iCs/>
                <w:szCs w:val="24"/>
              </w:rPr>
              <w:t>и</w:t>
            </w:r>
            <w:r>
              <w:rPr>
                <w:rStyle w:val="DefaultParagraphFont"/>
                <w:rFonts w:ascii="Times New Roman" w:eastAsia="Times New Roman" w:hAnsi="Times New Roman" w:cs="Times New Roman"/>
                <w:b/>
                <w:bCs/>
                <w:i/>
                <w:iCs/>
                <w:szCs w:val="24"/>
              </w:rPr>
              <w:t xml:space="preserve">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Този документът, ще регламентира:</w:t>
            </w:r>
          </w:p>
          <w:p>
            <w:pPr>
              <w:numPr>
                <w:ilvl w:val="0"/>
                <w:numId w:val="49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реда за прилагане на конкретните мерки от ПРСР (2014-2020 г.);</w:t>
            </w:r>
          </w:p>
          <w:p>
            <w:pPr>
              <w:numPr>
                <w:ilvl w:val="0"/>
                <w:numId w:val="4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подпомаганите сектори;</w:t>
            </w:r>
          </w:p>
          <w:p>
            <w:pPr>
              <w:numPr>
                <w:ilvl w:val="0"/>
                <w:numId w:val="4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инвестиции;</w:t>
            </w:r>
          </w:p>
          <w:p>
            <w:pPr>
              <w:numPr>
                <w:ilvl w:val="0"/>
                <w:numId w:val="4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финансовите условия;</w:t>
            </w:r>
          </w:p>
          <w:p>
            <w:pPr>
              <w:numPr>
                <w:ilvl w:val="0"/>
                <w:numId w:val="4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допустимост на кандидатите;</w:t>
            </w:r>
          </w:p>
          <w:p>
            <w:pPr>
              <w:numPr>
                <w:ilvl w:val="0"/>
                <w:numId w:val="49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процедурите за кандидатстване и плащане на помощта, включително изискваните  придружаващи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осигурена информация под формата 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Информационни семинари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както и целият процес на кандидатстване, вкл. и препоръки за намаляване риска от грешки.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Лекции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Отпечатване на информационни материали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i/>
                <w:iCs/>
                <w:szCs w:val="24"/>
                <w:u w:val="single"/>
              </w:rPr>
              <w:t>Информационни пунктове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Онлайн консултации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Интернет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Style w:val="DefaultParagraphFont"/>
                <w:rFonts w:ascii="Times New Roman" w:eastAsia="Times New Roman" w:hAnsi="Times New Roman" w:cs="Times New Roman"/>
                <w:i/>
                <w:iCs/>
                <w:szCs w:val="24"/>
              </w:rPr>
              <w:t>).</w:t>
            </w:r>
            <w:r>
              <w:rPr>
                <w:rStyle w:val="DefaultParagraphFont"/>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Социални мрежи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Фази на комуникационната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Акцентът ще е насочен в подържане на информираността на бенефициентите за изискванията в наредбите към мерките, процедурите за кандидатстване и необходимия набор от  документи.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 xml:space="preserve">Критерии </w:t>
            </w:r>
            <w:r>
              <w:rPr>
                <w:rStyle w:val="DefaultParagraphFont"/>
                <w:rFonts w:ascii="Times New Roman" w:eastAsia="Times New Roman" w:hAnsi="Times New Roman" w:cs="Times New Roman"/>
                <w:b/>
                <w:bCs/>
                <w:i/>
                <w:iCs/>
                <w:szCs w:val="24"/>
              </w:rPr>
              <w:t xml:space="preserve">и механизъм за мониторинг и </w:t>
            </w:r>
            <w:r>
              <w:rPr>
                <w:rStyle w:val="DefaultParagraphFont"/>
                <w:rFonts w:ascii="Times New Roman" w:eastAsia="Times New Roman" w:hAnsi="Times New Roman" w:cs="Times New Roman"/>
                <w:b/>
                <w:bCs/>
                <w:i/>
                <w:iCs/>
                <w:szCs w:val="24"/>
              </w:rPr>
              <w:t xml:space="preserve">оценка на </w:t>
            </w:r>
            <w:r>
              <w:rPr>
                <w:rStyle w:val="DefaultParagraphFont"/>
                <w:rFonts w:ascii="Times New Roman" w:eastAsia="Times New Roman" w:hAnsi="Times New Roman" w:cs="Times New Roman"/>
                <w:b/>
                <w:bCs/>
                <w:i/>
                <w:iCs/>
                <w:szCs w:val="24"/>
              </w:rPr>
              <w:t xml:space="preserve">ефективността и </w:t>
            </w:r>
            <w:r>
              <w:rPr>
                <w:rStyle w:val="DefaultParagraphFont"/>
                <w:rFonts w:ascii="Times New Roman" w:eastAsia="Times New Roman" w:hAnsi="Times New Roman" w:cs="Times New Roman"/>
                <w:b/>
                <w:bCs/>
                <w:i/>
                <w:iCs/>
                <w:szCs w:val="24"/>
              </w:rPr>
              <w:t>въздействието на информационните и публични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УO ще е отговорен за общото прилагане на Комуникационния план. Агенциите и службите на МЗХ,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Задължения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1" w:name="_Toc256000221"/>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2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Подробният механизъм за съгласуваност между отделните фондове е включен в нормативния акт за координация и прилагане на подхода ВОМР.</w:t>
            </w:r>
          </w:p>
          <w:p>
            <w:pPr>
              <w:pStyle w:val="BodyText"/>
              <w:jc w:val="both"/>
              <w:rPr>
                <w:b w:val="0"/>
              </w:rPr>
            </w:pPr>
          </w:p>
        </w:tc>
      </w:tr>
    </w:tbl>
    <w:p>
      <w:pPr>
        <w:pStyle w:val="Heading2"/>
        <w:rPr>
          <w:b w:val="0"/>
        </w:rPr>
      </w:pPr>
      <w:bookmarkStart w:id="222" w:name="_Toc256000222"/>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2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49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Документи и документооборот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49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4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Разписване на точни, ясни и лесно приложими разпоредби в нормативна уредба, с цел облекчаване на тяхното прилагане от страна на бенефициентите.</w:t>
            </w:r>
          </w:p>
          <w:p>
            <w:pPr>
              <w:numPr>
                <w:ilvl w:val="0"/>
                <w:numId w:val="4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49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49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4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4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4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4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4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4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4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49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разпоредби в националното законодателство 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49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проектни предложения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49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4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4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49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49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Оценка на проектни предложения, предоставяне на </w:t>
            </w:r>
            <w:r>
              <w:rPr>
                <w:rStyle w:val="DefaultParagraphFont"/>
                <w:rFonts w:ascii="Times New Roman" w:eastAsia="Times New Roman" w:hAnsi="Times New Roman" w:cs="Times New Roman"/>
                <w:b/>
                <w:bCs/>
                <w:szCs w:val="24"/>
              </w:rPr>
              <w:t>финансова помощ</w:t>
            </w:r>
            <w:r>
              <w:rPr>
                <w:rStyle w:val="DefaultParagraphFont"/>
                <w:rFonts w:ascii="Times New Roman" w:eastAsia="Times New Roman" w:hAnsi="Times New Roman" w:cs="Times New Roman"/>
                <w:b/>
                <w:bCs/>
                <w:szCs w:val="24"/>
              </w:rPr>
              <w:t xml:space="preserve"> и изпълнение на проекти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49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4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49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49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Процедури за избор на изпълнител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49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49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0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Верификация</w:t>
            </w:r>
            <w:r>
              <w:rPr>
                <w:rStyle w:val="DefaultParagraphFont"/>
                <w:rFonts w:ascii="Times New Roman" w:eastAsia="Times New Roman" w:hAnsi="Times New Roman" w:cs="Times New Roman"/>
                <w:b/>
                <w:bCs/>
                <w:szCs w:val="24"/>
              </w:rPr>
              <w:t xml:space="preserve"> на разходите</w:t>
            </w:r>
            <w:r>
              <w:rPr>
                <w:rStyle w:val="DefaultParagraphFont"/>
                <w:rFonts w:ascii="Times New Roman" w:eastAsia="Times New Roman" w:hAnsi="Times New Roman" w:cs="Times New Roman"/>
                <w:b/>
                <w:bCs/>
                <w:szCs w:val="24"/>
              </w:rPr>
              <w:t xml:space="preserve"> и плащания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0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0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0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Контрол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0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0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3" w:name="_Toc256000223"/>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2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Style w:val="DefaultParagraphFont"/>
                <w:rFonts w:ascii="Times New Roman" w:eastAsia="Times New Roman" w:hAnsi="Times New Roman" w:cs="Times New Roman"/>
                <w:i/>
                <w:iCs/>
                <w:szCs w:val="24"/>
              </w:rPr>
              <w:t>Приложение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подпомагани следните дейности:</w:t>
            </w:r>
          </w:p>
          <w:p>
            <w:pPr>
              <w:numPr>
                <w:ilvl w:val="0"/>
                <w:numId w:val="504"/>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05"/>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0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w:t>
            </w:r>
          </w:p>
          <w:p>
            <w:pPr>
              <w:numPr>
                <w:ilvl w:val="0"/>
                <w:numId w:val="50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0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0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 и РА членове на комисиите.</w:t>
            </w:r>
          </w:p>
          <w:p>
            <w:pPr>
              <w:numPr>
                <w:ilvl w:val="0"/>
                <w:numId w:val="50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0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на оценките, описани в Раздел 9.  </w:t>
            </w:r>
          </w:p>
          <w:p>
            <w:pPr>
              <w:numPr>
                <w:ilvl w:val="0"/>
                <w:numId w:val="50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0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05"/>
              </w:numPr>
              <w:spacing w:before="0" w:after="240"/>
              <w:ind w:left="720" w:hanging="4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щатния персонал, ангажиран с дейности, пряко свързани с ПРСР,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 само персонала с минимум 50% заетост по ПРСР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06"/>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Наемане на допълнителен персонал, необходим с оглед засилване на капацитета на администрацията, ангажирана в управлението, изпълнението, контрола, наблюдението и оценката на ПРСР към УО и РА и разходи за възнагражденията за този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07"/>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създаване и функциониране на НСМ след 31.12.2015 г.</w:t>
            </w:r>
          </w:p>
          <w:p>
            <w:pPr>
              <w:numPr>
                <w:ilvl w:val="0"/>
                <w:numId w:val="50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работа в мрежа и разрешаване на жалби.</w:t>
            </w:r>
          </w:p>
          <w:p>
            <w:pPr>
              <w:numPr>
                <w:ilvl w:val="0"/>
                <w:numId w:val="50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0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0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Извършване на проверки на място (пътни, дневни и нощувки).</w:t>
            </w:r>
          </w:p>
          <w:p>
            <w:pPr>
              <w:numPr>
                <w:ilvl w:val="0"/>
                <w:numId w:val="50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0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на ваучерна система по Мярка 1 на ПРСР.</w:t>
            </w:r>
          </w:p>
          <w:p>
            <w:pPr>
              <w:numPr>
                <w:ilvl w:val="0"/>
                <w:numId w:val="50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0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свързани с подготовката на следващия програмен период (след 2020).</w:t>
            </w:r>
          </w:p>
          <w:p>
            <w:pPr>
              <w:numPr>
                <w:ilvl w:val="0"/>
                <w:numId w:val="507"/>
              </w:numPr>
              <w:spacing w:before="0" w:after="240"/>
              <w:ind w:left="720" w:hanging="4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на последваща оценка на ПРСР (2007-13).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Style w:val="DefaultParagraphFont"/>
                <w:rFonts w:ascii="Times New Roman" w:eastAsia="Times New Roman" w:hAnsi="Times New Roman" w:cs="Times New Roman"/>
                <w:i/>
                <w:iCs/>
                <w:szCs w:val="24"/>
              </w:rPr>
              <w:t>Приложение 2</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Style w:val="DefaultParagraphFont"/>
                <w:rFonts w:ascii="Times New Roman" w:eastAsia="Times New Roman" w:hAnsi="Times New Roman" w:cs="Times New Roman"/>
                <w:i/>
                <w:iCs/>
                <w:szCs w:val="24"/>
              </w:rPr>
              <w:t>Приложение 3</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Бюджет в размер на 37 493 274 евро </w:t>
            </w:r>
            <w:r>
              <w:rPr>
                <w:rStyle w:val="DefaultParagraphFont"/>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Бенефициенти</w:t>
            </w:r>
          </w:p>
          <w:p>
            <w:pPr>
              <w:numPr>
                <w:ilvl w:val="0"/>
                <w:numId w:val="50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Дирекция РСР - УО на ПРСР;</w:t>
            </w:r>
          </w:p>
          <w:p>
            <w:pPr>
              <w:numPr>
                <w:ilvl w:val="0"/>
                <w:numId w:val="50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ДФЗ - РА.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4" w:name="_Toc256000224"/>
      <w:r>
        <w:t>Списък на действията за привличане на партньорите</w:t>
      </w:r>
      <w:bookmarkEnd w:id="224"/>
    </w:p>
    <w:p>
      <w:pPr>
        <w:pStyle w:val="Heading2"/>
      </w:pPr>
      <w:bookmarkStart w:id="225" w:name="_Toc256000225"/>
      <w:r>
        <w:t>16.1.1.Създаване на Тематична работна група (ТРГ) за разработване на ПРСР(2014-2020) с участие на партньорите</w:t>
      </w:r>
      <w:bookmarkEnd w:id="225"/>
    </w:p>
    <w:p>
      <w:pPr>
        <w:pStyle w:val="Heading3"/>
        <w:jc w:val="left"/>
        <w:rPr>
          <w:b w:val="0"/>
        </w:rPr>
      </w:pPr>
      <w:bookmarkStart w:id="226" w:name="_Toc256000226"/>
      <w:r>
        <w:rPr>
          <w:b w:val="0"/>
        </w:rPr>
        <w:t>Предмет на съответната консултация</w:t>
      </w:r>
      <w:bookmarkEnd w:id="22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27" w:name="_Toc256000227"/>
      <w:r>
        <w:rPr>
          <w:b w:val="0"/>
        </w:rPr>
        <w:t>Обобщение на резултатите</w:t>
      </w:r>
      <w:bookmarkEnd w:id="22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28" w:name="_Toc256000228"/>
      <w:r>
        <w:rPr>
          <w:b w:val="0"/>
        </w:rPr>
        <w:t>16.1.2. Провеждане на 7 заседания на ТРГ.</w:t>
      </w:r>
      <w:bookmarkEnd w:id="228"/>
    </w:p>
    <w:p>
      <w:pPr>
        <w:pStyle w:val="Heading3"/>
        <w:jc w:val="left"/>
        <w:rPr>
          <w:b w:val="0"/>
        </w:rPr>
      </w:pPr>
      <w:bookmarkStart w:id="229" w:name="_Toc256000229"/>
      <w:r>
        <w:rPr>
          <w:b w:val="0"/>
        </w:rPr>
        <w:t>Предмет на съответната консултация</w:t>
      </w:r>
      <w:bookmarkEnd w:id="22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Обсъждане с партньорите на:</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3.проекта на анализ и стратегия на ПРСР (2014-2020);</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5.първи вариант на ПРСР 2014-2020;</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30" w:name="_Toc256000230"/>
      <w:r>
        <w:rPr>
          <w:b w:val="0"/>
        </w:rPr>
        <w:t>Обобщение на резултатите</w:t>
      </w:r>
      <w:bookmarkEnd w:id="23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31" w:name="_Toc256000231"/>
      <w:r>
        <w:rPr>
          <w:b w:val="0"/>
        </w:rPr>
        <w:t>16.1.3. Сформиране на фокус групи</w:t>
      </w:r>
      <w:bookmarkEnd w:id="231"/>
    </w:p>
    <w:p>
      <w:pPr>
        <w:pStyle w:val="Heading3"/>
        <w:jc w:val="left"/>
        <w:rPr>
          <w:b w:val="0"/>
        </w:rPr>
      </w:pPr>
      <w:bookmarkStart w:id="232" w:name="_Toc256000232"/>
      <w:r>
        <w:rPr>
          <w:b w:val="0"/>
        </w:rPr>
        <w:t>Предмет на съответната консултация</w:t>
      </w:r>
      <w:bookmarkEnd w:id="2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33" w:name="_Toc256000233"/>
      <w:r>
        <w:rPr>
          <w:b w:val="0"/>
        </w:rPr>
        <w:t>Обобщение на резултатите</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34" w:name="_Toc256000234"/>
      <w:r>
        <w:rPr>
          <w:b w:val="0"/>
        </w:rPr>
        <w:t>16.1.4.Привличане на партньори със съвещателен глас</w:t>
      </w:r>
      <w:bookmarkEnd w:id="234"/>
    </w:p>
    <w:p>
      <w:pPr>
        <w:pStyle w:val="Heading3"/>
        <w:jc w:val="left"/>
        <w:rPr>
          <w:b w:val="0"/>
        </w:rPr>
      </w:pPr>
      <w:bookmarkStart w:id="235" w:name="_Toc256000235"/>
      <w:r>
        <w:rPr>
          <w:b w:val="0"/>
        </w:rPr>
        <w:t>Предмет на съответната консултация</w:t>
      </w:r>
      <w:bookmarkEnd w:id="23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36" w:name="_Toc256000236"/>
      <w:r>
        <w:rPr>
          <w:b w:val="0"/>
        </w:rPr>
        <w:t>Обобщение на резултатите</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37" w:name="_Toc256000237"/>
      <w:r>
        <w:rPr>
          <w:b w:val="0"/>
        </w:rPr>
        <w:t>16.1.5.Представяне на ПРСР на три заседания на КН</w:t>
      </w:r>
      <w:bookmarkEnd w:id="237"/>
    </w:p>
    <w:p>
      <w:pPr>
        <w:pStyle w:val="Heading3"/>
        <w:jc w:val="left"/>
        <w:rPr>
          <w:b w:val="0"/>
        </w:rPr>
      </w:pPr>
      <w:bookmarkStart w:id="238" w:name="_Toc256000238"/>
      <w:r>
        <w:rPr>
          <w:b w:val="0"/>
        </w:rPr>
        <w:t>Предмет на съответната консултация</w:t>
      </w:r>
      <w:bookmarkEnd w:id="23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1.Обсъждане на анализа и стратегията</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2.Обсъждане на проекта на ПРСР(2014-2020)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39" w:name="_Toc256000239"/>
      <w:r>
        <w:rPr>
          <w:b w:val="0"/>
        </w:rPr>
        <w:t>Обобщение на резултатите</w:t>
      </w:r>
      <w:bookmarkEnd w:id="23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Обсъден проект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40" w:name="_Toc256000240"/>
      <w:r>
        <w:rPr>
          <w:b w:val="0"/>
        </w:rPr>
        <w:t>16.1.6.Достъп до информация, прозрачност</w:t>
      </w:r>
      <w:bookmarkEnd w:id="240"/>
    </w:p>
    <w:p>
      <w:pPr>
        <w:pStyle w:val="Heading3"/>
        <w:jc w:val="left"/>
        <w:rPr>
          <w:b w:val="0"/>
        </w:rPr>
      </w:pPr>
      <w:bookmarkStart w:id="241" w:name="_Toc256000241"/>
      <w:r>
        <w:rPr>
          <w:b w:val="0"/>
        </w:rPr>
        <w:t>Предмет на съответната консултация</w:t>
      </w:r>
      <w:bookmarkEnd w:id="2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42" w:name="_Toc256000242"/>
      <w:r>
        <w:rPr>
          <w:b w:val="0"/>
        </w:rPr>
        <w:t>Обобщение на резултатите</w:t>
      </w:r>
      <w:bookmarkEnd w:id="2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43" w:name="_Toc256000243"/>
      <w:r>
        <w:rPr>
          <w:b w:val="0"/>
        </w:rPr>
        <w:t>(Незадължително) разяснения или допълнителна информация за допълване на списъка с действия</w:t>
      </w:r>
      <w:bookmarkEnd w:id="2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Style w:val="DefaultParagraphFont"/>
                <w:rFonts w:ascii="Times New Roman" w:eastAsia="Times New Roman" w:hAnsi="Times New Roman" w:cs="Times New Roman"/>
                <w:b/>
                <w:bCs/>
                <w:szCs w:val="24"/>
              </w:rPr>
              <w:t>Тематична работна група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Style w:val="DefaultParagraphFont"/>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0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1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1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1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1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Националния статистически институт;</w:t>
            </w:r>
          </w:p>
          <w:p>
            <w:pPr>
              <w:numPr>
                <w:ilvl w:val="0"/>
                <w:numId w:val="51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Комисията за защита от дискриминация;</w:t>
            </w:r>
          </w:p>
          <w:p>
            <w:pPr>
              <w:numPr>
                <w:ilvl w:val="0"/>
                <w:numId w:val="51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Регионалните съвети за развитие в районите от ниво 2;</w:t>
            </w:r>
          </w:p>
          <w:p>
            <w:pPr>
              <w:numPr>
                <w:ilvl w:val="0"/>
                <w:numId w:val="51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1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1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Националното сдружение на общините в Република България;</w:t>
            </w:r>
          </w:p>
          <w:p>
            <w:pPr>
              <w:numPr>
                <w:ilvl w:val="0"/>
                <w:numId w:val="51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Академична общност;</w:t>
            </w:r>
          </w:p>
          <w:p>
            <w:pPr>
              <w:numPr>
                <w:ilvl w:val="0"/>
                <w:numId w:val="52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Неправителствени организации.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2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определи членовете на ТРГ, съгласно Механизма и Методиката;</w:t>
            </w:r>
          </w:p>
          <w:p>
            <w:pPr>
              <w:numPr>
                <w:ilvl w:val="0"/>
                <w:numId w:val="5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изготви поименна заповед на членовете на ТРГ;</w:t>
            </w:r>
          </w:p>
          <w:p>
            <w:pPr>
              <w:numPr>
                <w:ilvl w:val="0"/>
                <w:numId w:val="52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изготви Правила за организацията и дейността на ТРГ.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2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2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2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44" w:name="_Toc256000244"/>
      <w:r>
        <w:t>Национална мрежа за селските райони</w:t>
      </w:r>
      <w:bookmarkEnd w:id="244"/>
    </w:p>
    <w:p>
      <w:pPr>
        <w:pStyle w:val="Heading2"/>
      </w:pPr>
      <w:bookmarkStart w:id="245" w:name="_Toc256000245"/>
      <w:r>
        <w:t>Процедура и график за създаването на националната мрежа за селските райони („НМСР“)</w:t>
      </w:r>
      <w:bookmarkEnd w:id="2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Национална селска мрежа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Министерството на земеделието и храните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46" w:name="_Toc256000246"/>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2. Администрация: Министерството на земеделието и храните,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47" w:name="_Toc256000247"/>
      <w:r>
        <w:t>Обобщено описание на основните категории дейности на националната мрежа за селските райони в съответствие с целите на програмата</w:t>
      </w:r>
      <w:bookmarkEnd w:id="2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Експертна група за подхода ЛИДЕР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Функции и роля на ЗУ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w:t>
            </w:r>
            <w:r>
              <w:rPr>
                <w:rStyle w:val="DefaultParagraphFont"/>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Style w:val="DefaultParagraphFont"/>
                <w:rFonts w:ascii="Times New Roman" w:eastAsia="Times New Roman" w:hAnsi="Times New Roman" w:cs="Times New Roman"/>
                <w:b/>
                <w:bCs/>
                <w:i/>
                <w:iCs/>
                <w:szCs w:val="24"/>
              </w:rPr>
              <w:t>Януари-февруари 2015 г.</w:t>
            </w:r>
            <w:r>
              <w:rPr>
                <w:rStyle w:val="DefaultParagraphFont"/>
                <w:rFonts w:ascii="Times New Roman" w:eastAsia="Times New Roman" w:hAnsi="Times New Roman" w:cs="Times New Roman"/>
                <w:b/>
                <w:bCs/>
                <w:szCs w:val="24"/>
              </w:rPr>
              <w:t xml:space="preserve"> -   Управляващият орган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2.</w:t>
            </w:r>
            <w:r>
              <w:rPr>
                <w:rStyle w:val="DefaultParagraphFont"/>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Style w:val="DefaultParagraphFont"/>
                <w:rFonts w:ascii="Times New Roman" w:eastAsia="Times New Roman" w:hAnsi="Times New Roman" w:cs="Times New Roman"/>
                <w:b/>
                <w:bCs/>
                <w:i/>
                <w:iCs/>
                <w:szCs w:val="24"/>
              </w:rPr>
              <w:t>Февруари-  декември 2015 г.</w:t>
            </w:r>
            <w:r>
              <w:rPr>
                <w:rStyle w:val="DefaultParagraphFont"/>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3. *Сключен договор с избрания изпълнител  -  </w:t>
            </w:r>
            <w:r>
              <w:rPr>
                <w:rStyle w:val="DefaultParagraphFont"/>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Style w:val="DefaultParagraphFont"/>
                <w:rFonts w:ascii="Times New Roman" w:eastAsia="Times New Roman" w:hAnsi="Times New Roman" w:cs="Times New Roman"/>
                <w:b/>
                <w:bCs/>
                <w:szCs w:val="24"/>
              </w:rPr>
              <w:t xml:space="preserve"> -  Дирекция „Обществени поръчки“ на МЗХ;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4. Създадена Комисия за управление и контрол на проекта   </w:t>
            </w:r>
            <w:r>
              <w:rPr>
                <w:rStyle w:val="DefaultParagraphFont"/>
                <w:rFonts w:ascii="Times New Roman" w:eastAsia="Times New Roman" w:hAnsi="Times New Roman" w:cs="Times New Roman"/>
                <w:b/>
                <w:bCs/>
                <w:i/>
                <w:iCs/>
                <w:szCs w:val="24"/>
              </w:rPr>
              <w:t>-  До края на месец януари 2016 г.</w:t>
            </w:r>
            <w:r>
              <w:rPr>
                <w:rStyle w:val="DefaultParagraphFont"/>
                <w:rFonts w:ascii="Times New Roman" w:eastAsia="Times New Roman" w:hAnsi="Times New Roman" w:cs="Times New Roman"/>
                <w:b/>
                <w:bCs/>
                <w:szCs w:val="24"/>
              </w:rPr>
              <w:t>  -  Управляващият орган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Style w:val="DefaultParagraphFont"/>
                <w:rFonts w:ascii="Times New Roman" w:eastAsia="Times New Roman" w:hAnsi="Times New Roman" w:cs="Times New Roman"/>
                <w:b/>
                <w:bCs/>
                <w:i/>
                <w:iCs/>
                <w:szCs w:val="24"/>
              </w:rPr>
              <w:t xml:space="preserve">След края на месец януари 2016 г.  </w:t>
            </w:r>
            <w:r>
              <w:rPr>
                <w:rStyle w:val="DefaultParagraphFont"/>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w:t>
            </w:r>
            <w:r>
              <w:rPr>
                <w:rStyle w:val="DefaultParagraphFont"/>
                <w:rFonts w:ascii="Times New Roman" w:eastAsia="Times New Roman" w:hAnsi="Times New Roman" w:cs="Times New Roman"/>
                <w:b/>
                <w:bCs/>
                <w:i/>
                <w:iCs/>
                <w:szCs w:val="24"/>
              </w:rPr>
              <w:t>Бележка:</w:t>
            </w:r>
            <w:r>
              <w:rPr>
                <w:rStyle w:val="DefaultParagraphFont"/>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Style w:val="DefaultParagraphFont"/>
                <w:rFonts w:ascii="Times New Roman" w:eastAsia="Times New Roman" w:hAnsi="Times New Roman" w:cs="Times New Roman"/>
                <w:szCs w:val="24"/>
              </w:rPr>
              <w:t xml:space="preserve"> и да влезе в сила не по-рано от 01.01.2016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Комуникация и публичност.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Тематичните работни групи работят на </w:t>
            </w:r>
            <w:r>
              <w:rPr>
                <w:rStyle w:val="DefaultParagraphFont"/>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Наблюдение: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Цели и дейности на Плана за действие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Допустими разходи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10" name=""/>
                  <wp:cNvGraphicFramePr/>
                  <a:graphic xmlns:a="http://schemas.openxmlformats.org/drawingml/2006/main">
                    <a:graphicData uri="http://schemas.openxmlformats.org/drawingml/2006/picture">
                      <pic:pic xmlns:pic="http://schemas.openxmlformats.org/drawingml/2006/picture">
                        <pic:nvPicPr>
                          <pic:cNvPr id="2062234748" name=""/>
                          <pic:cNvPicPr/>
                        </pic:nvPicPr>
                        <pic:blipFill>
                          <a:blip xmlns:r="http://schemas.openxmlformats.org/officeDocument/2006/relationships" r:embed="rId20"/>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48" w:name="_Toc256000248"/>
      <w:r>
        <w:t>Налични ресурси за създаването и привеждането в действие на националната мрежа за селските райони</w:t>
      </w:r>
      <w:bookmarkEnd w:id="2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Бюджет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49" w:name="_Toc256000249"/>
      <w:r>
        <w:t>Предварителна оценка на доказуемостта и на възможността за контрол, както и на риска от грешки</w:t>
      </w:r>
      <w:bookmarkEnd w:id="249"/>
    </w:p>
    <w:p>
      <w:pPr>
        <w:pStyle w:val="Heading2"/>
      </w:pPr>
      <w:bookmarkStart w:id="250" w:name="_Toc256000250"/>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Оценка на риска</w:t>
            </w:r>
          </w:p>
          <w:p>
            <w:pPr>
              <w:numPr>
                <w:ilvl w:val="0"/>
                <w:numId w:val="523"/>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2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Разумност на предложените разходи при частните бенефициенти;</w:t>
            </w:r>
          </w:p>
          <w:p>
            <w:pPr>
              <w:numPr>
                <w:ilvl w:val="0"/>
                <w:numId w:val="5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Проведени обществени поръчки за публичните бенефициенти;</w:t>
            </w:r>
          </w:p>
          <w:p>
            <w:pPr>
              <w:numPr>
                <w:ilvl w:val="0"/>
                <w:numId w:val="5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Спазване на поети дългосрочни ангажименти;</w:t>
            </w:r>
          </w:p>
          <w:p>
            <w:pPr>
              <w:numPr>
                <w:ilvl w:val="0"/>
                <w:numId w:val="5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Допустимост на кандидатите в случаите на МСП;</w:t>
            </w:r>
          </w:p>
          <w:p>
            <w:pPr>
              <w:numPr>
                <w:ilvl w:val="0"/>
                <w:numId w:val="5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Изкуствено създадени условия;</w:t>
            </w:r>
          </w:p>
          <w:p>
            <w:pPr>
              <w:numPr>
                <w:ilvl w:val="0"/>
                <w:numId w:val="52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за минималните помощи.</w:t>
            </w:r>
          </w:p>
          <w:p>
            <w:pPr>
              <w:numPr>
                <w:ilvl w:val="0"/>
                <w:numId w:val="525"/>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Предварителната оценка сочи, че съществува риск от:</w:t>
            </w:r>
          </w:p>
          <w:p>
            <w:pPr>
              <w:numPr>
                <w:ilvl w:val="0"/>
                <w:numId w:val="52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2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Мерки за минимизиране на риска</w:t>
            </w:r>
          </w:p>
          <w:p>
            <w:pPr>
              <w:numPr>
                <w:ilvl w:val="0"/>
                <w:numId w:val="527"/>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2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административния капацитет на РА за извършване на проверки в областта на обществените поръчки. Дефиниране в нормативната уредба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2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2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2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numPr>
                <w:ilvl w:val="0"/>
                <w:numId w:val="527"/>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Обща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51" w:name="_Toc256000251"/>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1 „Трансфер на знания и действия за осведомяване“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и храните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и храните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Удостоверение, потвърждаващо адекватността и точността на изчисленията</w:t>
            </w:r>
            <w:r>
              <w:rPr>
                <w:rStyle w:val="DefaultParagraphFont"/>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Съюза на икономистите в България, който е функционално независим орган от Министерство на земеделието и храните и Държавен фонд „Земеделие“.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52" w:name="_Toc256000252"/>
      <w:r>
        <w:t>Преходни условия</w:t>
      </w:r>
      <w:bookmarkEnd w:id="252"/>
    </w:p>
    <w:p>
      <w:pPr>
        <w:pStyle w:val="Heading2"/>
      </w:pPr>
      <w:bookmarkStart w:id="253" w:name="_Toc256000253"/>
      <w:r>
        <w:t>Описание на преходните условия по мерки</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Описание на преходните условия по 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2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2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3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142 „Създаване на групи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3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214 „Агроекологични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3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3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54" w:name="_Toc256000254"/>
      <w:r>
        <w:t>Ориентировъчна таблица за пренос на средства</w:t>
      </w:r>
      <w:bookmarkEnd w:id="2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от Съюза за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55" w:name="_Toc256000255"/>
      <w:r>
        <w:t>Тематични подпрограми</w:t>
      </w:r>
      <w:bookmarkEnd w:id="2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402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Heading1"/>
        <w:rPr>
          <w:b w:val="0"/>
          <w:i w:val="0"/>
        </w:rPr>
      </w:pPr>
      <w:bookmarkStart w:id="256" w:name="_Toc256000256"/>
      <w:r>
        <w:rPr>
          <w:b w:val="0"/>
          <w:i w:val="0"/>
        </w:rPr>
        <w:t>Документи</w:t>
      </w:r>
      <w:bookmarkEnd w:id="2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412"/>
        <w:gridCol w:w="1587"/>
        <w:gridCol w:w="1361"/>
        <w:gridCol w:w="1448"/>
        <w:gridCol w:w="1682"/>
        <w:gridCol w:w="1402"/>
        <w:gridCol w:w="2357"/>
        <w:gridCol w:w="1400"/>
        <w:gridCol w:w="137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29-04-2015</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Ares(2015)1828188</w:t>
            </w:r>
          </w:p>
        </w:tc>
        <w:tc>
          <w:tcPr>
            <w:tcW w:w="2000" w:type="pct"/>
            <w:shd w:val="clear" w:color="auto" w:fill="FFFFFF"/>
            <w:noWrap w:val="0"/>
            <w:tcMar>
              <w:top w:w="60" w:type="dxa"/>
            </w:tcMar>
            <w:vAlign w:val="top"/>
          </w:tcPr>
          <w:p>
            <w:pPr>
              <w:jc w:val="left"/>
              <w:rPr>
                <w:b w:val="0"/>
                <w:i w:val="0"/>
                <w:sz w:val="16"/>
              </w:rPr>
            </w:pPr>
            <w:r>
              <w:rPr>
                <w:b w:val="0"/>
                <w:i w:val="0"/>
                <w:sz w:val="16"/>
              </w:rPr>
              <w:t>4231110571</w:t>
            </w:r>
          </w:p>
        </w:tc>
        <w:tc>
          <w:tcPr>
            <w:tcW w:w="2000" w:type="pct"/>
            <w:shd w:val="clear" w:color="auto" w:fill="FFFFFF"/>
            <w:noWrap w:val="0"/>
            <w:tcMar>
              <w:top w:w="60" w:type="dxa"/>
            </w:tcMar>
            <w:vAlign w:val="top"/>
          </w:tcPr>
          <w:p>
            <w:pPr>
              <w:jc w:val="left"/>
              <w:rPr>
                <w:b w:val="0"/>
                <w:i w:val="0"/>
                <w:sz w:val="16"/>
              </w:rPr>
            </w:pPr>
            <w:r>
              <w:rPr>
                <w:b w:val="0"/>
                <w:i w:val="0"/>
                <w:sz w:val="16"/>
              </w:rPr>
              <w:t>Annexes_RDP_2014_2020_20 4 2015_final</w:t>
            </w:r>
          </w:p>
        </w:tc>
        <w:tc>
          <w:tcPr>
            <w:tcW w:w="2000" w:type="pct"/>
            <w:shd w:val="clear" w:color="auto" w:fill="FFFFFF"/>
            <w:noWrap w:val="0"/>
            <w:tcMar>
              <w:top w:w="60" w:type="dxa"/>
            </w:tcMar>
            <w:vAlign w:val="top"/>
          </w:tcPr>
          <w:p>
            <w:pPr>
              <w:jc w:val="left"/>
              <w:rPr>
                <w:b w:val="0"/>
                <w:i w:val="0"/>
                <w:sz w:val="16"/>
              </w:rPr>
            </w:pPr>
            <w:r>
              <w:rPr>
                <w:b w:val="0"/>
                <w:i w:val="0"/>
                <w:sz w:val="16"/>
              </w:rPr>
              <w:t>29-04-2015</w:t>
            </w:r>
          </w:p>
        </w:tc>
        <w:tc>
          <w:tcPr>
            <w:tcW w:w="2000" w:type="pct"/>
            <w:shd w:val="clear" w:color="auto" w:fill="FFFFFF"/>
            <w:noWrap w:val="0"/>
            <w:tcMar>
              <w:top w:w="60" w:type="dxa"/>
            </w:tcMar>
            <w:vAlign w:val="top"/>
          </w:tcPr>
          <w:p>
            <w:pPr>
              <w:jc w:val="left"/>
              <w:rPr>
                <w:b w:val="0"/>
                <w:i w:val="0"/>
                <w:sz w:val="16"/>
              </w:rPr>
            </w:pPr>
            <w:r>
              <w:rPr>
                <w:b w:val="0"/>
                <w:i w:val="0"/>
                <w:sz w:val="16"/>
              </w:rPr>
              <w:t>naspaant</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29-04-2015</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Ares(2015)1828188</w:t>
            </w:r>
          </w:p>
        </w:tc>
        <w:tc>
          <w:tcPr>
            <w:tcW w:w="2000" w:type="pct"/>
            <w:shd w:val="clear" w:color="auto" w:fill="FFFFFF"/>
            <w:noWrap w:val="0"/>
            <w:tcMar>
              <w:top w:w="60" w:type="dxa"/>
            </w:tcMar>
            <w:vAlign w:val="top"/>
          </w:tcPr>
          <w:p>
            <w:pPr>
              <w:jc w:val="left"/>
              <w:rPr>
                <w:b w:val="0"/>
                <w:i w:val="0"/>
                <w:sz w:val="16"/>
              </w:rPr>
            </w:pPr>
            <w:r>
              <w:rPr>
                <w:b w:val="0"/>
                <w:i w:val="0"/>
                <w:sz w:val="16"/>
              </w:rPr>
              <w:t>4140620906</w:t>
            </w:r>
          </w:p>
        </w:tc>
        <w:tc>
          <w:tcPr>
            <w:tcW w:w="2000" w:type="pct"/>
            <w:shd w:val="clear" w:color="auto" w:fill="FFFFFF"/>
            <w:noWrap w:val="0"/>
            <w:tcMar>
              <w:top w:w="60" w:type="dxa"/>
            </w:tcMar>
            <w:vAlign w:val="top"/>
          </w:tcPr>
          <w:p>
            <w:pPr>
              <w:jc w:val="left"/>
              <w:rPr>
                <w:b w:val="0"/>
                <w:i w:val="0"/>
                <w:sz w:val="16"/>
              </w:rPr>
            </w:pPr>
            <w:r>
              <w:rPr>
                <w:b w:val="0"/>
                <w:i w:val="0"/>
                <w:sz w:val="16"/>
              </w:rPr>
              <w:t>Приложение към раздел 3_Нетехническо резюме на информацията от Доклада по екологична оценка</w:t>
            </w:r>
          </w:p>
          <w:p>
            <w:pPr>
              <w:jc w:val="left"/>
              <w:rPr>
                <w:b w:val="0"/>
                <w:i w:val="0"/>
                <w:sz w:val="16"/>
              </w:rPr>
            </w:pPr>
            <w:r>
              <w:rPr>
                <w:b w:val="0"/>
                <w:i w:val="0"/>
                <w:sz w:val="16"/>
              </w:rPr>
              <w:t>Приложение към раздел 3_Обобщена справка за съответствието на ПРСР с постановеното в Становището на МОСВ за ЕО</w:t>
            </w:r>
          </w:p>
          <w:p>
            <w:pPr>
              <w:jc w:val="left"/>
              <w:rPr>
                <w:b w:val="0"/>
                <w:i w:val="0"/>
                <w:sz w:val="16"/>
              </w:rPr>
            </w:pPr>
            <w:r>
              <w:rPr>
                <w:b w:val="0"/>
                <w:i w:val="0"/>
                <w:sz w:val="16"/>
              </w:rPr>
              <w:t>Приложение към Раздел 3_Преглед на препоръките_ резюме</w:t>
            </w:r>
          </w:p>
          <w:p>
            <w:pPr>
              <w:jc w:val="left"/>
              <w:rPr>
                <w:b w:val="0"/>
                <w:i w:val="0"/>
                <w:sz w:val="16"/>
              </w:rPr>
            </w:pPr>
            <w:r>
              <w:rPr>
                <w:b w:val="0"/>
                <w:i w:val="0"/>
                <w:sz w:val="16"/>
              </w:rPr>
              <w:t>Приложение към раздел 3_FINAL Ex ante report BG RDP 2014-2020_BG</w:t>
            </w:r>
          </w:p>
          <w:p>
            <w:pPr>
              <w:jc w:val="left"/>
              <w:rPr>
                <w:b w:val="0"/>
                <w:i w:val="0"/>
                <w:sz w:val="16"/>
              </w:rPr>
            </w:pPr>
            <w:r>
              <w:rPr>
                <w:b w:val="0"/>
                <w:i w:val="0"/>
                <w:sz w:val="16"/>
              </w:rPr>
              <w:t>Приложение към Раздел 3_SEA_RDP</w:t>
            </w:r>
          </w:p>
          <w:p>
            <w:pPr>
              <w:jc w:val="left"/>
              <w:rPr>
                <w:b w:val="0"/>
                <w:i w:val="0"/>
                <w:sz w:val="16"/>
              </w:rPr>
            </w:pPr>
            <w:r>
              <w:rPr>
                <w:b w:val="0"/>
                <w:i w:val="0"/>
                <w:sz w:val="16"/>
              </w:rPr>
              <w:t>Приложение към раздел 3_Информация за проведените консултации с обществеността и заинтересованите органи по опазване на околната среда</w:t>
            </w:r>
          </w:p>
          <w:p>
            <w:pPr>
              <w:jc w:val="left"/>
              <w:rPr>
                <w:b w:val="0"/>
                <w:i w:val="0"/>
                <w:sz w:val="16"/>
              </w:rPr>
            </w:pPr>
            <w:r>
              <w:rPr>
                <w:b w:val="0"/>
                <w:i w:val="0"/>
                <w:sz w:val="16"/>
              </w:rPr>
              <w:t>Приложение към Раздел 3_Таблица с препоръките от предварителната оценка</w:t>
            </w:r>
          </w:p>
        </w:tc>
        <w:tc>
          <w:tcPr>
            <w:tcW w:w="2000" w:type="pct"/>
            <w:shd w:val="clear" w:color="auto" w:fill="FFFFFF"/>
            <w:noWrap w:val="0"/>
            <w:tcMar>
              <w:top w:w="60" w:type="dxa"/>
            </w:tcMar>
            <w:vAlign w:val="top"/>
          </w:tcPr>
          <w:p>
            <w:pPr>
              <w:jc w:val="left"/>
              <w:rPr>
                <w:b w:val="0"/>
                <w:i w:val="0"/>
                <w:sz w:val="16"/>
              </w:rPr>
            </w:pPr>
            <w:r>
              <w:rPr>
                <w:b w:val="0"/>
                <w:i w:val="0"/>
                <w:sz w:val="16"/>
              </w:rPr>
              <w:t>29-04-2015</w:t>
            </w:r>
          </w:p>
        </w:tc>
        <w:tc>
          <w:tcPr>
            <w:tcW w:w="2000" w:type="pct"/>
            <w:shd w:val="clear" w:color="auto" w:fill="FFFFFF"/>
            <w:noWrap w:val="0"/>
            <w:tcMar>
              <w:top w:w="60" w:type="dxa"/>
            </w:tcMar>
            <w:vAlign w:val="top"/>
          </w:tcPr>
          <w:p>
            <w:pPr>
              <w:jc w:val="left"/>
              <w:rPr>
                <w:b w:val="0"/>
                <w:i w:val="0"/>
                <w:sz w:val="16"/>
              </w:rPr>
            </w:pPr>
            <w:r>
              <w:rPr>
                <w:b w:val="0"/>
                <w:i w:val="0"/>
                <w:sz w:val="16"/>
              </w:rPr>
              <w:t>naspaant</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 стопанства 2014-2020</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29-04-2015</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Ares(2015)1828188</w:t>
            </w:r>
          </w:p>
        </w:tc>
        <w:tc>
          <w:tcPr>
            <w:tcW w:w="2000" w:type="pct"/>
            <w:shd w:val="clear" w:color="auto" w:fill="FFFFFF"/>
            <w:noWrap w:val="0"/>
            <w:tcMar>
              <w:top w:w="60" w:type="dxa"/>
            </w:tcMar>
            <w:vAlign w:val="top"/>
          </w:tcPr>
          <w:p>
            <w:pPr>
              <w:jc w:val="left"/>
              <w:rPr>
                <w:b w:val="0"/>
                <w:i w:val="0"/>
                <w:sz w:val="16"/>
              </w:rPr>
            </w:pPr>
            <w:r>
              <w:rPr>
                <w:b w:val="0"/>
                <w:i w:val="0"/>
                <w:sz w:val="16"/>
              </w:rPr>
              <w:t>428899961</w:t>
            </w:r>
          </w:p>
        </w:tc>
        <w:tc>
          <w:tcPr>
            <w:tcW w:w="2000" w:type="pct"/>
            <w:shd w:val="clear" w:color="auto" w:fill="FFFFFF"/>
            <w:noWrap w:val="0"/>
            <w:tcMar>
              <w:top w:w="60" w:type="dxa"/>
            </w:tcMar>
            <w:vAlign w:val="top"/>
          </w:tcPr>
          <w:p>
            <w:pPr>
              <w:jc w:val="left"/>
              <w:rPr>
                <w:b w:val="0"/>
                <w:i w:val="0"/>
                <w:sz w:val="16"/>
              </w:rPr>
            </w:pPr>
            <w:r>
              <w:rPr>
                <w:b w:val="0"/>
                <w:i w:val="0"/>
                <w:sz w:val="16"/>
              </w:rPr>
              <w:t>Tematichna podprograma za malki stopanstva</w:t>
            </w:r>
          </w:p>
          <w:p>
            <w:pPr>
              <w:jc w:val="left"/>
              <w:rPr>
                <w:b w:val="0"/>
                <w:i w:val="0"/>
                <w:sz w:val="16"/>
              </w:rPr>
            </w:pPr>
            <w:r>
              <w:rPr>
                <w:b w:val="0"/>
                <w:i w:val="0"/>
                <w:sz w:val="16"/>
              </w:rPr>
              <w:t>Tematichna podprograma za malki stopanstva-2015-1-20-razpred finans sredstva</w:t>
            </w:r>
          </w:p>
        </w:tc>
        <w:tc>
          <w:tcPr>
            <w:tcW w:w="2000" w:type="pct"/>
            <w:shd w:val="clear" w:color="auto" w:fill="FFFFFF"/>
            <w:noWrap w:val="0"/>
            <w:tcMar>
              <w:top w:w="60" w:type="dxa"/>
            </w:tcMar>
            <w:vAlign w:val="top"/>
          </w:tcPr>
          <w:p>
            <w:pPr>
              <w:jc w:val="left"/>
              <w:rPr>
                <w:b w:val="0"/>
                <w:i w:val="0"/>
                <w:sz w:val="16"/>
              </w:rPr>
            </w:pPr>
            <w:r>
              <w:rPr>
                <w:b w:val="0"/>
                <w:i w:val="0"/>
                <w:sz w:val="16"/>
              </w:rPr>
              <w:t>29-04-2015</w:t>
            </w:r>
          </w:p>
        </w:tc>
        <w:tc>
          <w:tcPr>
            <w:tcW w:w="2000" w:type="pct"/>
            <w:shd w:val="clear" w:color="auto" w:fill="FFFFFF"/>
            <w:noWrap w:val="0"/>
            <w:tcMar>
              <w:top w:w="60" w:type="dxa"/>
            </w:tcMar>
            <w:vAlign w:val="top"/>
          </w:tcPr>
          <w:p>
            <w:pPr>
              <w:jc w:val="left"/>
              <w:rPr>
                <w:b w:val="0"/>
                <w:i w:val="0"/>
                <w:sz w:val="16"/>
              </w:rPr>
            </w:pPr>
            <w:r>
              <w:rPr>
                <w:b w:val="0"/>
                <w:i w:val="0"/>
                <w:sz w:val="16"/>
              </w:rPr>
              <w:t>naspaant</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Bold r:id="rId1" w:fontKey="{B7A6FD2B-FE76-46DD-B838-A7972FD452C1}"/>
    <w:embedItalic r:id="rId2" w:fontKey="{F946F7B3-D64E-4BBF-A755-385467DF8855}"/>
    <w:embedBoldItalic r:id="rId3" w:fontKey="{7BDA89B5-1393-45BC-80EC-E72DB1116D39}"/>
  </w:font>
  <w:font w:name="Symbol">
    <w:panose1 w:val="05050102010706020507"/>
    <w:charset w:val="02"/>
    <w:family w:val="roman"/>
    <w:pitch w:val="variable"/>
    <w:sig w:usb0="00000000" w:usb1="10000000" w:usb2="00000000" w:usb3="00000000" w:csb0="80000000" w:csb1="00000000"/>
    <w:embedRegular r:id="rId4" w:fontKey="{05D751D6-FAA9-486B-9329-A64DC9A576A2}"/>
  </w:font>
  <w:font w:name="Arial">
    <w:panose1 w:val="020B0604020202020204"/>
    <w:charset w:val="00"/>
    <w:family w:val="swiss"/>
    <w:pitch w:val="variable"/>
    <w:sig w:usb0="E0002AFF" w:usb1="C0007843" w:usb2="00000009" w:usb3="00000000" w:csb0="000001FF" w:csb1="00000000"/>
    <w:embedBold r:id="rId5" w:fontKey="{1C28C414-43D0-44D1-875E-2076D1D6DCB7}"/>
    <w:embedItalic r:id="rId6" w:fontKey="{C3A5EA0D-F310-41CA-9F7F-803CC838E05A}"/>
  </w:font>
  <w:font w:name="Calibri">
    <w:panose1 w:val="020F0502020204030204"/>
    <w:charset w:val="00"/>
    <w:family w:val="swiss"/>
    <w:pitch w:val="variable"/>
    <w:sig w:usb0="E10002FF" w:usb1="4000ACFF" w:usb2="00000009" w:usb3="00000000" w:csb0="0000019F" w:csb1="00000000"/>
    <w:embedRegular r:id="rId7" w:fontKey="{5C0EC9E4-646C-4D01-83F4-FBBADBECF54D}"/>
  </w:font>
  <w:font w:name="Tahoma">
    <w:panose1 w:val="020B0604030504040204"/>
    <w:charset w:val="00"/>
    <w:family w:val="swiss"/>
    <w:pitch w:val="variable"/>
    <w:sig w:usb0="E1002EFF" w:usb1="C000605B" w:usb2="00000029" w:usb3="00000000" w:csb0="000101FF" w:csb1="00000000"/>
    <w:embedRegular r:id="rId8" w:fontKey="{245CCD01-2E76-4268-BD0D-1658710316A4}"/>
  </w:font>
  <w:font w:name="Courier New">
    <w:panose1 w:val="02070309020205020404"/>
    <w:charset w:val="00"/>
    <w:family w:val="modern"/>
    <w:pitch w:val="fixed"/>
    <w:sig w:usb0="E0002AFF" w:usb1="C0007843" w:usb2="00000009" w:usb3="00000000" w:csb0="000001FF" w:csb1="00000000"/>
    <w:embedRegular r:id="rId9" w:fontKey="{CA0BE65C-EECA-4F20-86F6-B95E5C5FDA37}"/>
  </w:font>
  <w:font w:name="Cambria Math">
    <w:panose1 w:val="02040503050406030204"/>
    <w:charset w:val="00"/>
    <w:family w:val="roman"/>
    <w:pitch w:val="variable"/>
    <w:sig w:usb0="E00002FF" w:usb1="420024FF" w:usb2="00000000" w:usb3="00000000" w:csb0="0000019F" w:csb1="00000000"/>
    <w:embedRegular r:id="rId10" w:fontKey="{79678469-6CFC-4FD1-AAEF-642F478F3C87}"/>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804</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lvl w:ilvl="0">
      <w:start w:val="1"/>
      <w:numFmt w:val="decimal"/>
      <w:suff w:val="space"/>
      <w:lvlText w:val="%1."/>
      <w:lvlJc w:val="left"/>
      <w:pPr>
        <w:ind w:left="357" w:hanging="357"/>
      </w:pPr>
      <w:rPr>
        <w:rFonts w:hint="default"/>
      </w:rPr>
    </w:lvl>
    <w:lvl w:ilvl="1">
      <w:start w:val="1"/>
      <w:numFmt w:val="decimal"/>
      <w:suff w:val="space"/>
      <w:lvlText w:val="%1.%2."/>
      <w:lvlJc w:val="left"/>
      <w:pPr>
        <w:ind w:left="714" w:hanging="357"/>
      </w:pPr>
      <w:rPr>
        <w:rFonts w:hint="default"/>
      </w:rPr>
    </w:lvl>
    <w:lvl w:ilvl="2">
      <w:start w:val="1"/>
      <w:numFmt w:val="decimal"/>
      <w:suff w:val="space"/>
      <w:lvlText w:val="%1.%2.%3."/>
      <w:lvlJc w:val="left"/>
      <w:pPr>
        <w:ind w:left="1071" w:hanging="357"/>
      </w:pPr>
      <w:rPr>
        <w:rFonts w:hint="default"/>
        <w:color w:val="auto"/>
      </w:rPr>
    </w:lvl>
    <w:lvl w:ilvl="3">
      <w:start w:val="1"/>
      <w:numFmt w:val="decimal"/>
      <w:suff w:val="space"/>
      <w:lvlText w:val="%1.%2.%3.%4."/>
      <w:lvlJc w:val="left"/>
      <w:pPr>
        <w:ind w:left="1428" w:hanging="357"/>
      </w:pPr>
      <w:rPr>
        <w:rFonts w:hint="default"/>
      </w:rPr>
    </w:lvl>
    <w:lvl w:ilvl="4">
      <w:start w:val="1"/>
      <w:numFmt w:val="decimal"/>
      <w:suff w:val="space"/>
      <w:lvlText w:val="%1.%2.%3.%4.%5."/>
      <w:lvlJc w:val="left"/>
      <w:pPr>
        <w:ind w:left="1785" w:hanging="357"/>
      </w:pPr>
      <w:rPr>
        <w:rFonts w:hint="default"/>
      </w:rPr>
    </w:lvl>
    <w:lvl w:ilvl="5">
      <w:start w:val="1"/>
      <w:numFmt w:val="decimal"/>
      <w:suff w:val="space"/>
      <w:lvlText w:val="%1.%2.%3.%4.%5.%6."/>
      <w:lvlJc w:val="left"/>
      <w:pPr>
        <w:ind w:left="2142" w:hanging="357"/>
      </w:pPr>
      <w:rPr>
        <w:rFonts w:hint="default"/>
      </w:rPr>
    </w:lvl>
    <w:lvl w:ilvl="6">
      <w:start w:val="1"/>
      <w:numFmt w:val="decimal"/>
      <w:suff w:val="space"/>
      <w:lvlText w:val="%1.%2.%3.%4.%5.%6.%7."/>
      <w:lvlJc w:val="left"/>
      <w:pPr>
        <w:ind w:left="2499" w:hanging="357"/>
      </w:pPr>
      <w:rPr>
        <w:rFonts w:hint="default"/>
      </w:rPr>
    </w:lvl>
    <w:lvl w:ilvl="7">
      <w:start w:val="1"/>
      <w:numFmt w:val="decimal"/>
      <w:suff w:val="space"/>
      <w:lvlText w:val="%1.%2.%3.%4.%5.%6.%7.%8."/>
      <w:lvlJc w:val="left"/>
      <w:pPr>
        <w:ind w:left="2856" w:hanging="357"/>
      </w:pPr>
      <w:rPr>
        <w:rFonts w:hint="default"/>
      </w:rPr>
    </w:lvl>
    <w:lvl w:ilvl="8">
      <w:start w:val="1"/>
      <w:numFmt w:val="decimal"/>
      <w:suff w:val="space"/>
      <w:lvlText w:val="%1.%2.%3.%4.%5.%6.%7.%8.%9."/>
      <w:lvlJc w:val="left"/>
      <w:pPr>
        <w:ind w:left="3213" w:hanging="357"/>
      </w:pPr>
      <w:rPr>
        <w:rFonts w:hint="default"/>
      </w:rPr>
    </w:lvl>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hybridMultilevel"/>
    <w:tmpl w:val="722304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722304D9"/>
    <w:multiLevelType w:val="hybridMultilevel"/>
    <w:tmpl w:val="722304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
    <w:nsid w:val="722304DA"/>
    <w:multiLevelType w:val="hybridMultilevel"/>
    <w:tmpl w:val="722304D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722304DB"/>
    <w:multiLevelType w:val="hybridMultilevel"/>
    <w:tmpl w:val="722304D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hybridMultilevel"/>
    <w:tmpl w:val="722304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722304E0"/>
    <w:multiLevelType w:val="hybridMultilevel"/>
    <w:tmpl w:val="722304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multilevel"/>
    <w:tmpl w:val="7223053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3">
    <w:nsid w:val="72230532"/>
    <w:multiLevelType w:val="multilevel"/>
    <w:tmpl w:val="7223053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4">
    <w:nsid w:val="72230533"/>
    <w:multiLevelType w:val="multilevel"/>
    <w:tmpl w:val="7223053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5">
    <w:nsid w:val="72230534"/>
    <w:multiLevelType w:val="multilevel"/>
    <w:tmpl w:val="7223053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6">
    <w:nsid w:val="72230535"/>
    <w:multiLevelType w:val="hybridMultilevel"/>
    <w:tmpl w:val="722305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7">
    <w:nsid w:val="72230536"/>
    <w:multiLevelType w:val="hybridMultilevel"/>
    <w:tmpl w:val="722305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8">
    <w:nsid w:val="72230537"/>
    <w:multiLevelType w:val="hybridMultilevel"/>
    <w:tmpl w:val="722305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9">
    <w:nsid w:val="72230538"/>
    <w:multiLevelType w:val="hybridMultilevel"/>
    <w:tmpl w:val="7223053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0">
    <w:nsid w:val="72230539"/>
    <w:multiLevelType w:val="multilevel"/>
    <w:tmpl w:val="7223053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1">
    <w:nsid w:val="7223053A"/>
    <w:multiLevelType w:val="hybridMultilevel"/>
    <w:tmpl w:val="7223053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2">
    <w:nsid w:val="7223053B"/>
    <w:multiLevelType w:val="multilevel"/>
    <w:tmpl w:val="7223053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3">
    <w:nsid w:val="7223053C"/>
    <w:multiLevelType w:val="hybridMultilevel"/>
    <w:tmpl w:val="7223053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4">
    <w:nsid w:val="7223053D"/>
    <w:multiLevelType w:val="hybridMultilevel"/>
    <w:tmpl w:val="722305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5">
    <w:nsid w:val="7223053E"/>
    <w:multiLevelType w:val="hybridMultilevel"/>
    <w:tmpl w:val="7223053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multilevel"/>
    <w:tmpl w:val="7223053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7">
    <w:nsid w:val="72230540"/>
    <w:multiLevelType w:val="hybridMultilevel"/>
    <w:tmpl w:val="7223054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8">
    <w:nsid w:val="72230541"/>
    <w:multiLevelType w:val="multilevel"/>
    <w:tmpl w:val="7223054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9">
    <w:nsid w:val="72230542"/>
    <w:multiLevelType w:val="hybridMultilevel"/>
    <w:tmpl w:val="7223054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0">
    <w:nsid w:val="72230543"/>
    <w:multiLevelType w:val="hybridMultilevel"/>
    <w:tmpl w:val="7223054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1">
    <w:nsid w:val="72230544"/>
    <w:multiLevelType w:val="hybridMultilevel"/>
    <w:tmpl w:val="722305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2">
    <w:nsid w:val="72230545"/>
    <w:multiLevelType w:val="hybridMultilevel"/>
    <w:tmpl w:val="722305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3">
    <w:nsid w:val="72230546"/>
    <w:multiLevelType w:val="multilevel"/>
    <w:tmpl w:val="7223054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4">
    <w:nsid w:val="72230547"/>
    <w:multiLevelType w:val="hybridMultilevel"/>
    <w:tmpl w:val="7223054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5">
    <w:nsid w:val="72230548"/>
    <w:multiLevelType w:val="multilevel"/>
    <w:tmpl w:val="7223054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6">
    <w:nsid w:val="72230549"/>
    <w:multiLevelType w:val="multilevel"/>
    <w:tmpl w:val="7223054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7">
    <w:nsid w:val="7223054A"/>
    <w:multiLevelType w:val="multilevel"/>
    <w:tmpl w:val="7223054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8">
    <w:nsid w:val="7223054B"/>
    <w:multiLevelType w:val="multilevel"/>
    <w:tmpl w:val="7223054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9">
    <w:nsid w:val="7223054C"/>
    <w:multiLevelType w:val="hybridMultilevel"/>
    <w:tmpl w:val="7223054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0">
    <w:nsid w:val="7223054D"/>
    <w:multiLevelType w:val="hybridMultilevel"/>
    <w:tmpl w:val="722305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1">
    <w:nsid w:val="7223054E"/>
    <w:multiLevelType w:val="hybridMultilevel"/>
    <w:tmpl w:val="7223054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2">
    <w:nsid w:val="7223054F"/>
    <w:multiLevelType w:val="hybridMultilevel"/>
    <w:tmpl w:val="722305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3">
    <w:nsid w:val="72230550"/>
    <w:multiLevelType w:val="hybridMultilevel"/>
    <w:tmpl w:val="7223055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4">
    <w:nsid w:val="72230551"/>
    <w:multiLevelType w:val="hybridMultilevel"/>
    <w:tmpl w:val="722305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5">
    <w:nsid w:val="72230552"/>
    <w:multiLevelType w:val="hybridMultilevel"/>
    <w:tmpl w:val="722305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6">
    <w:nsid w:val="72230553"/>
    <w:multiLevelType w:val="hybridMultilevel"/>
    <w:tmpl w:val="722305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hybridMultilevel"/>
    <w:tmpl w:val="722305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8">
    <w:nsid w:val="72230555"/>
    <w:multiLevelType w:val="multilevel"/>
    <w:tmpl w:val="7223055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9">
    <w:nsid w:val="72230556"/>
    <w:multiLevelType w:val="hybridMultilevel"/>
    <w:tmpl w:val="722305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multilevel"/>
    <w:tmpl w:val="7223055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1">
    <w:nsid w:val="72230558"/>
    <w:multiLevelType w:val="hybridMultilevel"/>
    <w:tmpl w:val="7223055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hybridMultilevel"/>
    <w:tmpl w:val="722305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3">
    <w:nsid w:val="7223055A"/>
    <w:multiLevelType w:val="hybridMultilevel"/>
    <w:tmpl w:val="722305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4">
    <w:nsid w:val="7223055B"/>
    <w:multiLevelType w:val="hybridMultilevel"/>
    <w:tmpl w:val="722305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5">
    <w:nsid w:val="7223055C"/>
    <w:multiLevelType w:val="hybridMultilevel"/>
    <w:tmpl w:val="722305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6">
    <w:nsid w:val="7223055D"/>
    <w:multiLevelType w:val="hybridMultilevel"/>
    <w:tmpl w:val="7223055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multilevel"/>
    <w:tmpl w:val="7223055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8">
    <w:nsid w:val="7223055F"/>
    <w:multiLevelType w:val="hybridMultilevel"/>
    <w:tmpl w:val="7223055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9">
    <w:nsid w:val="72230560"/>
    <w:multiLevelType w:val="hybridMultilevel"/>
    <w:tmpl w:val="722305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multilevel"/>
    <w:tmpl w:val="7223056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4">
    <w:nsid w:val="72230565"/>
    <w:multiLevelType w:val="hybridMultilevel"/>
    <w:tmpl w:val="722305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5">
    <w:nsid w:val="72230566"/>
    <w:multiLevelType w:val="hybridMultilevel"/>
    <w:tmpl w:val="722305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6">
    <w:nsid w:val="72230567"/>
    <w:multiLevelType w:val="hybridMultilevel"/>
    <w:tmpl w:val="722305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7">
    <w:nsid w:val="72230568"/>
    <w:multiLevelType w:val="hybridMultilevel"/>
    <w:tmpl w:val="7223056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8">
    <w:nsid w:val="72230569"/>
    <w:multiLevelType w:val="hybridMultilevel"/>
    <w:tmpl w:val="722305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9">
    <w:nsid w:val="7223056A"/>
    <w:multiLevelType w:val="hybridMultilevel"/>
    <w:tmpl w:val="722305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0">
    <w:nsid w:val="7223056B"/>
    <w:multiLevelType w:val="hybridMultilevel"/>
    <w:tmpl w:val="722305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1">
    <w:nsid w:val="7223056C"/>
    <w:multiLevelType w:val="multilevel"/>
    <w:tmpl w:val="7223056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2">
    <w:nsid w:val="7223056D"/>
    <w:multiLevelType w:val="hybridMultilevel"/>
    <w:tmpl w:val="722305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hybridMultilevel"/>
    <w:tmpl w:val="722305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4">
    <w:nsid w:val="7223056F"/>
    <w:multiLevelType w:val="hybridMultilevel"/>
    <w:tmpl w:val="722305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5">
    <w:nsid w:val="72230570"/>
    <w:multiLevelType w:val="hybridMultilevel"/>
    <w:tmpl w:val="722305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6">
    <w:nsid w:val="72230571"/>
    <w:multiLevelType w:val="hybridMultilevel"/>
    <w:tmpl w:val="722305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7">
    <w:nsid w:val="72230572"/>
    <w:multiLevelType w:val="hybridMultilevel"/>
    <w:tmpl w:val="722305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8">
    <w:nsid w:val="72230573"/>
    <w:multiLevelType w:val="hybridMultilevel"/>
    <w:tmpl w:val="7223057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9">
    <w:nsid w:val="72230574"/>
    <w:multiLevelType w:val="hybridMultilevel"/>
    <w:tmpl w:val="722305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0">
    <w:nsid w:val="72230575"/>
    <w:multiLevelType w:val="hybridMultilevel"/>
    <w:tmpl w:val="722305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1">
    <w:nsid w:val="72230576"/>
    <w:multiLevelType w:val="hybridMultilevel"/>
    <w:tmpl w:val="722305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2">
    <w:nsid w:val="72230577"/>
    <w:multiLevelType w:val="hybridMultilevel"/>
    <w:tmpl w:val="722305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3">
    <w:nsid w:val="72230578"/>
    <w:multiLevelType w:val="hybridMultilevel"/>
    <w:tmpl w:val="722305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4">
    <w:nsid w:val="72230579"/>
    <w:multiLevelType w:val="hybridMultilevel"/>
    <w:tmpl w:val="7223057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5">
    <w:nsid w:val="7223057A"/>
    <w:multiLevelType w:val="hybridMultilevel"/>
    <w:tmpl w:val="722305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6">
    <w:nsid w:val="7223057B"/>
    <w:multiLevelType w:val="hybridMultilevel"/>
    <w:tmpl w:val="722305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7">
    <w:nsid w:val="7223057C"/>
    <w:multiLevelType w:val="hybridMultilevel"/>
    <w:tmpl w:val="722305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8">
    <w:nsid w:val="7223057D"/>
    <w:multiLevelType w:val="multilevel"/>
    <w:tmpl w:val="7223057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9">
    <w:nsid w:val="7223057E"/>
    <w:multiLevelType w:val="hybridMultilevel"/>
    <w:tmpl w:val="722305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0">
    <w:nsid w:val="7223057F"/>
    <w:multiLevelType w:val="hybridMultilevel"/>
    <w:tmpl w:val="722305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1">
    <w:nsid w:val="72230580"/>
    <w:multiLevelType w:val="hybridMultilevel"/>
    <w:tmpl w:val="722305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2">
    <w:nsid w:val="72230581"/>
    <w:multiLevelType w:val="hybridMultilevel"/>
    <w:tmpl w:val="7223058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3">
    <w:nsid w:val="72230582"/>
    <w:multiLevelType w:val="hybridMultilevel"/>
    <w:tmpl w:val="722305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hybridMultilevel"/>
    <w:tmpl w:val="722305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6">
    <w:nsid w:val="72230585"/>
    <w:multiLevelType w:val="hybridMultilevel"/>
    <w:tmpl w:val="722305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7">
    <w:nsid w:val="72230586"/>
    <w:multiLevelType w:val="hybridMultilevel"/>
    <w:tmpl w:val="722305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8">
    <w:nsid w:val="72230587"/>
    <w:multiLevelType w:val="hybridMultilevel"/>
    <w:tmpl w:val="722305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hybridMultilevel"/>
    <w:tmpl w:val="7223058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0">
    <w:nsid w:val="72230589"/>
    <w:multiLevelType w:val="hybridMultilevel"/>
    <w:tmpl w:val="722305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1">
    <w:nsid w:val="7223058A"/>
    <w:multiLevelType w:val="hybridMultilevel"/>
    <w:tmpl w:val="722305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2">
    <w:nsid w:val="7223058B"/>
    <w:multiLevelType w:val="hybridMultilevel"/>
    <w:tmpl w:val="722305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multilevel"/>
    <w:tmpl w:val="7223058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4">
    <w:nsid w:val="7223058D"/>
    <w:multiLevelType w:val="hybridMultilevel"/>
    <w:tmpl w:val="722305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hybridMultilevel"/>
    <w:tmpl w:val="722305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8">
    <w:nsid w:val="72230591"/>
    <w:multiLevelType w:val="hybridMultilevel"/>
    <w:tmpl w:val="7223059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hybridMultilevel"/>
    <w:tmpl w:val="722305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9">
    <w:nsid w:val="7223059C"/>
    <w:multiLevelType w:val="hybridMultilevel"/>
    <w:tmpl w:val="722305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hybridMultilevel"/>
    <w:tmpl w:val="722305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6">
    <w:nsid w:val="722305AD"/>
    <w:multiLevelType w:val="hybridMultilevel"/>
    <w:tmpl w:val="722305A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multilevel"/>
    <w:tmpl w:val="722305B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0">
    <w:nsid w:val="722305B1"/>
    <w:multiLevelType w:val="hybridMultilevel"/>
    <w:tmpl w:val="722305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multilevel"/>
    <w:tmpl w:val="722305B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8">
    <w:nsid w:val="722305B9"/>
    <w:multiLevelType w:val="hybridMultilevel"/>
    <w:tmpl w:val="722305B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9">
    <w:nsid w:val="722305BA"/>
    <w:multiLevelType w:val="hybridMultilevel"/>
    <w:tmpl w:val="722305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multilevel"/>
    <w:tmpl w:val="722305B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2">
    <w:nsid w:val="722305BD"/>
    <w:multiLevelType w:val="hybridMultilevel"/>
    <w:tmpl w:val="722305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multilevel"/>
    <w:tmpl w:val="722305B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4">
    <w:nsid w:val="722305BF"/>
    <w:multiLevelType w:val="hybridMultilevel"/>
    <w:tmpl w:val="722305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hybridMultilevel"/>
    <w:tmpl w:val="722305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multilevel"/>
    <w:tmpl w:val="722305C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3">
    <w:nsid w:val="722305C8"/>
    <w:multiLevelType w:val="hybridMultilevel"/>
    <w:tmpl w:val="722305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multilevel"/>
    <w:tmpl w:val="722305C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5">
    <w:nsid w:val="722305CA"/>
    <w:multiLevelType w:val="hybridMultilevel"/>
    <w:tmpl w:val="722305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hybridMultilevel"/>
    <w:tmpl w:val="722305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hybridMultilevel"/>
    <w:tmpl w:val="722305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hybridMultilevel"/>
    <w:tmpl w:val="722305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hybridMultilevel"/>
    <w:tmpl w:val="722305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hybridMultilevel"/>
    <w:tmpl w:val="722305D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hybridMultilevel"/>
    <w:tmpl w:val="722305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4">
    <w:nsid w:val="722305D3"/>
    <w:multiLevelType w:val="multilevel"/>
    <w:tmpl w:val="722305D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5">
    <w:nsid w:val="722305D4"/>
    <w:multiLevelType w:val="hybridMultilevel"/>
    <w:tmpl w:val="722305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6">
    <w:nsid w:val="722305D5"/>
    <w:multiLevelType w:val="hybridMultilevel"/>
    <w:tmpl w:val="722305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multilevel"/>
    <w:tmpl w:val="722305D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8">
    <w:nsid w:val="722305D7"/>
    <w:multiLevelType w:val="hybridMultilevel"/>
    <w:tmpl w:val="722305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9">
    <w:nsid w:val="722305D8"/>
    <w:multiLevelType w:val="multilevel"/>
    <w:tmpl w:val="722305D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0">
    <w:nsid w:val="722305D9"/>
    <w:multiLevelType w:val="hybridMultilevel"/>
    <w:tmpl w:val="722305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1">
    <w:nsid w:val="722305DA"/>
    <w:multiLevelType w:val="hybridMultilevel"/>
    <w:tmpl w:val="722305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2">
    <w:nsid w:val="722305DB"/>
    <w:multiLevelType w:val="hybridMultilevel"/>
    <w:tmpl w:val="722305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hybridMultilevel"/>
    <w:tmpl w:val="722305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hybridMultilevel"/>
    <w:tmpl w:val="722305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hybridMultilevel"/>
    <w:tmpl w:val="722305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7">
    <w:nsid w:val="722305E0"/>
    <w:multiLevelType w:val="hybridMultilevel"/>
    <w:tmpl w:val="722305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8">
    <w:nsid w:val="722305E1"/>
    <w:multiLevelType w:val="hybridMultilevel"/>
    <w:tmpl w:val="722305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9">
    <w:nsid w:val="722305E2"/>
    <w:multiLevelType w:val="hybridMultilevel"/>
    <w:tmpl w:val="722305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0">
    <w:nsid w:val="722305E3"/>
    <w:multiLevelType w:val="multilevel"/>
    <w:tmpl w:val="722305E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1">
    <w:nsid w:val="722305E4"/>
    <w:multiLevelType w:val="hybridMultilevel"/>
    <w:tmpl w:val="722305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2">
    <w:nsid w:val="722305E5"/>
    <w:multiLevelType w:val="hybridMultilevel"/>
    <w:tmpl w:val="722305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multilevel"/>
    <w:tmpl w:val="722305E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6">
    <w:nsid w:val="722305E9"/>
    <w:multiLevelType w:val="hybridMultilevel"/>
    <w:tmpl w:val="722305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hybridMultilevel"/>
    <w:tmpl w:val="722305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hybridMultilevel"/>
    <w:tmpl w:val="722305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9">
    <w:nsid w:val="722305EC"/>
    <w:multiLevelType w:val="hybridMultilevel"/>
    <w:tmpl w:val="722305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0">
    <w:nsid w:val="722305ED"/>
    <w:multiLevelType w:val="multilevel"/>
    <w:tmpl w:val="722305E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1">
    <w:nsid w:val="722305EE"/>
    <w:multiLevelType w:val="multilevel"/>
    <w:tmpl w:val="722305E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2">
    <w:nsid w:val="722305EF"/>
    <w:multiLevelType w:val="hybridMultilevel"/>
    <w:tmpl w:val="722305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3">
    <w:nsid w:val="722305F0"/>
    <w:multiLevelType w:val="multilevel"/>
    <w:tmpl w:val="722305F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4">
    <w:nsid w:val="722305F1"/>
    <w:multiLevelType w:val="multilevel"/>
    <w:tmpl w:val="722305F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5">
    <w:nsid w:val="722305F2"/>
    <w:multiLevelType w:val="hybridMultilevel"/>
    <w:tmpl w:val="722305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hybridMultilevel"/>
    <w:tmpl w:val="722305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7">
    <w:nsid w:val="722305F4"/>
    <w:multiLevelType w:val="hybridMultilevel"/>
    <w:tmpl w:val="722305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8">
    <w:nsid w:val="722305F5"/>
    <w:multiLevelType w:val="hybridMultilevel"/>
    <w:tmpl w:val="722305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hybridMultilevel"/>
    <w:tmpl w:val="722305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hybridMultilevel"/>
    <w:tmpl w:val="722305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1">
    <w:nsid w:val="722305F8"/>
    <w:multiLevelType w:val="hybridMultilevel"/>
    <w:tmpl w:val="722305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2">
    <w:nsid w:val="722305F9"/>
    <w:multiLevelType w:val="hybridMultilevel"/>
    <w:tmpl w:val="722305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3">
    <w:nsid w:val="722305FA"/>
    <w:multiLevelType w:val="hybridMultilevel"/>
    <w:tmpl w:val="722305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4">
    <w:nsid w:val="722305FB"/>
    <w:multiLevelType w:val="hybridMultilevel"/>
    <w:tmpl w:val="722305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5">
    <w:nsid w:val="722305FC"/>
    <w:multiLevelType w:val="hybridMultilevel"/>
    <w:tmpl w:val="722305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6">
    <w:nsid w:val="722305FD"/>
    <w:multiLevelType w:val="hybridMultilevel"/>
    <w:tmpl w:val="722305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hybridMultilevel"/>
    <w:tmpl w:val="722306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hybridMultilevel"/>
    <w:tmpl w:val="722306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hybridMultilevel"/>
    <w:tmpl w:val="722306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4">
    <w:nsid w:val="72230605"/>
    <w:multiLevelType w:val="hybridMultilevel"/>
    <w:tmpl w:val="722306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multilevel"/>
    <w:tmpl w:val="7223064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multilevel"/>
    <w:tmpl w:val="7223064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9">
    <w:nsid w:val="72230646"/>
    <w:multiLevelType w:val="multilevel"/>
    <w:tmpl w:val="7223064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hybridMultilevel"/>
    <w:tmpl w:val="722306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hybridMultilevel"/>
    <w:tmpl w:val="7223064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hybridMultilevel"/>
    <w:tmpl w:val="722306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hybridMultilevel"/>
    <w:tmpl w:val="722306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3">
    <w:nsid w:val="72230654"/>
    <w:multiLevelType w:val="hybridMultilevel"/>
    <w:tmpl w:val="722306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4">
    <w:nsid w:val="72230655"/>
    <w:multiLevelType w:val="multilevel"/>
    <w:tmpl w:val="7223065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5">
    <w:nsid w:val="72230656"/>
    <w:multiLevelType w:val="hybridMultilevel"/>
    <w:tmpl w:val="722306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hybridMultilevel"/>
    <w:tmpl w:val="722306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9">
    <w:nsid w:val="7223065A"/>
    <w:multiLevelType w:val="multilevel"/>
    <w:tmpl w:val="7223065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multilevel"/>
    <w:tmpl w:val="7223065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hybridMultilevel"/>
    <w:tmpl w:val="722306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hybridMultilevel"/>
    <w:tmpl w:val="7223066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9">
    <w:nsid w:val="72230664"/>
    <w:multiLevelType w:val="hybridMultilevel"/>
    <w:tmpl w:val="722306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hybridMultilevel"/>
    <w:tmpl w:val="722306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3">
    <w:nsid w:val="72230668"/>
    <w:multiLevelType w:val="multilevel"/>
    <w:tmpl w:val="7223066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4">
    <w:nsid w:val="72230669"/>
    <w:multiLevelType w:val="hybridMultilevel"/>
    <w:tmpl w:val="722306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5">
    <w:nsid w:val="7223066A"/>
    <w:multiLevelType w:val="hybridMultilevel"/>
    <w:tmpl w:val="722306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6">
    <w:nsid w:val="7223066B"/>
    <w:multiLevelType w:val="hybridMultilevel"/>
    <w:tmpl w:val="722306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7">
    <w:nsid w:val="7223066C"/>
    <w:multiLevelType w:val="hybridMultilevel"/>
    <w:tmpl w:val="722306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8">
    <w:nsid w:val="7223066D"/>
    <w:multiLevelType w:val="multilevel"/>
    <w:tmpl w:val="7223066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9">
    <w:nsid w:val="7223066E"/>
    <w:multiLevelType w:val="hybridMultilevel"/>
    <w:tmpl w:val="722306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hybridMultilevel"/>
    <w:tmpl w:val="722306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4">
    <w:nsid w:val="72230673"/>
    <w:multiLevelType w:val="hybridMultilevel"/>
    <w:tmpl w:val="7223067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hybridMultilevel"/>
    <w:tmpl w:val="7223067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6">
    <w:nsid w:val="72230675"/>
    <w:multiLevelType w:val="hybridMultilevel"/>
    <w:tmpl w:val="722306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hybridMultilevel"/>
    <w:tmpl w:val="722306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multilevel"/>
    <w:tmpl w:val="7223067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0">
    <w:nsid w:val="72230679"/>
    <w:multiLevelType w:val="multilevel"/>
    <w:tmpl w:val="7223067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1">
    <w:nsid w:val="7223067A"/>
    <w:multiLevelType w:val="hybridMultilevel"/>
    <w:tmpl w:val="722306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hybridMultilevel"/>
    <w:tmpl w:val="722306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3">
    <w:nsid w:val="7223067C"/>
    <w:multiLevelType w:val="multilevel"/>
    <w:tmpl w:val="7223067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4">
    <w:nsid w:val="7223067D"/>
    <w:multiLevelType w:val="multilevel"/>
    <w:tmpl w:val="7223067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multilevel"/>
    <w:tmpl w:val="7223067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7">
    <w:nsid w:val="72230680"/>
    <w:multiLevelType w:val="multilevel"/>
    <w:tmpl w:val="7223068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8">
    <w:nsid w:val="72230681"/>
    <w:multiLevelType w:val="hybridMultilevel"/>
    <w:tmpl w:val="722306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hybridMultilevel"/>
    <w:tmpl w:val="722306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2">
    <w:nsid w:val="72230685"/>
    <w:multiLevelType w:val="multilevel"/>
    <w:tmpl w:val="7223068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3">
    <w:nsid w:val="72230686"/>
    <w:multiLevelType w:val="hybridMultilevel"/>
    <w:tmpl w:val="7223068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hybridMultilevel"/>
    <w:tmpl w:val="722306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5">
    <w:nsid w:val="72230688"/>
    <w:multiLevelType w:val="multilevel"/>
    <w:tmpl w:val="7223068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6">
    <w:nsid w:val="72230689"/>
    <w:multiLevelType w:val="hybridMultilevel"/>
    <w:tmpl w:val="7223068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multilevel"/>
    <w:tmpl w:val="7223068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8">
    <w:nsid w:val="7223068B"/>
    <w:multiLevelType w:val="hybridMultilevel"/>
    <w:tmpl w:val="7223068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9">
    <w:nsid w:val="7223068C"/>
    <w:multiLevelType w:val="hybridMultilevel"/>
    <w:tmpl w:val="722306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0">
    <w:nsid w:val="7223068D"/>
    <w:multiLevelType w:val="multilevel"/>
    <w:tmpl w:val="7223068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1">
    <w:nsid w:val="7223068E"/>
    <w:multiLevelType w:val="hybridMultilevel"/>
    <w:tmpl w:val="7223068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2">
    <w:nsid w:val="7223068F"/>
    <w:multiLevelType w:val="hybridMultilevel"/>
    <w:tmpl w:val="722306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3">
    <w:nsid w:val="72230690"/>
    <w:multiLevelType w:val="hybridMultilevel"/>
    <w:tmpl w:val="722306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4">
    <w:nsid w:val="72230691"/>
    <w:multiLevelType w:val="hybridMultilevel"/>
    <w:tmpl w:val="722306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5">
    <w:nsid w:val="72230692"/>
    <w:multiLevelType w:val="hybridMultilevel"/>
    <w:tmpl w:val="722306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6">
    <w:nsid w:val="72230693"/>
    <w:multiLevelType w:val="hybridMultilevel"/>
    <w:tmpl w:val="722306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7">
    <w:nsid w:val="72230694"/>
    <w:multiLevelType w:val="hybridMultilevel"/>
    <w:tmpl w:val="722306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8">
    <w:nsid w:val="72230695"/>
    <w:multiLevelType w:val="hybridMultilevel"/>
    <w:tmpl w:val="722306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9">
    <w:nsid w:val="72230696"/>
    <w:multiLevelType w:val="hybridMultilevel"/>
    <w:tmpl w:val="7223069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0">
    <w:nsid w:val="72230697"/>
    <w:multiLevelType w:val="hybridMultilevel"/>
    <w:tmpl w:val="722306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hybridMultilevel"/>
    <w:tmpl w:val="7223069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2">
    <w:nsid w:val="72230699"/>
    <w:multiLevelType w:val="hybridMultilevel"/>
    <w:tmpl w:val="722306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3">
    <w:nsid w:val="7223069A"/>
    <w:multiLevelType w:val="hybridMultilevel"/>
    <w:tmpl w:val="722306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4">
    <w:nsid w:val="7223069B"/>
    <w:multiLevelType w:val="hybridMultilevel"/>
    <w:tmpl w:val="722306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5">
    <w:nsid w:val="7223069C"/>
    <w:multiLevelType w:val="hybridMultilevel"/>
    <w:tmpl w:val="722306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6">
    <w:nsid w:val="7223069D"/>
    <w:multiLevelType w:val="hybridMultilevel"/>
    <w:tmpl w:val="722306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hybridMultilevel"/>
    <w:tmpl w:val="7223069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8">
    <w:nsid w:val="7223069F"/>
    <w:multiLevelType w:val="hybridMultilevel"/>
    <w:tmpl w:val="722306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hybridMultilevel"/>
    <w:tmpl w:val="722306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hybridMultilevel"/>
    <w:tmpl w:val="722306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hybridMultilevel"/>
    <w:tmpl w:val="722306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multilevel"/>
    <w:tmpl w:val="722306A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0">
    <w:nsid w:val="722306AB"/>
    <w:multiLevelType w:val="hybridMultilevel"/>
    <w:tmpl w:val="722306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multilevel"/>
    <w:tmpl w:val="722306B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07">
    <w:nsid w:val="722306BC"/>
    <w:multiLevelType w:val="multilevel"/>
    <w:tmpl w:val="722306B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08">
    <w:nsid w:val="722306BD"/>
    <w:multiLevelType w:val="multilevel"/>
    <w:tmpl w:val="722306B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09">
    <w:nsid w:val="722306BE"/>
    <w:multiLevelType w:val="multilevel"/>
    <w:tmpl w:val="722306B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hybridMultilevel"/>
    <w:tmpl w:val="722306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5">
    <w:nsid w:val="722306C4"/>
    <w:multiLevelType w:val="hybridMultilevel"/>
    <w:tmpl w:val="722306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6">
    <w:nsid w:val="722306C5"/>
    <w:multiLevelType w:val="hybridMultilevel"/>
    <w:tmpl w:val="722306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hybridMultilevel"/>
    <w:tmpl w:val="722306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2">
    <w:nsid w:val="722306CB"/>
    <w:multiLevelType w:val="hybridMultilevel"/>
    <w:tmpl w:val="722306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3">
    <w:nsid w:val="722306CC"/>
    <w:multiLevelType w:val="hybridMultilevel"/>
    <w:tmpl w:val="722306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4">
    <w:nsid w:val="722306CD"/>
    <w:multiLevelType w:val="hybridMultilevel"/>
    <w:tmpl w:val="722306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5">
    <w:nsid w:val="722306CE"/>
    <w:multiLevelType w:val="multilevel"/>
    <w:tmpl w:val="722306C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6">
    <w:nsid w:val="722306CF"/>
    <w:multiLevelType w:val="hybridMultilevel"/>
    <w:tmpl w:val="722306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7">
    <w:nsid w:val="722306D0"/>
    <w:multiLevelType w:val="multilevel"/>
    <w:tmpl w:val="722306D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8">
    <w:nsid w:val="722306D1"/>
    <w:multiLevelType w:val="hybridMultilevel"/>
    <w:tmpl w:val="722306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9">
    <w:nsid w:val="722306D2"/>
    <w:multiLevelType w:val="multilevel"/>
    <w:tmpl w:val="722306D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hybridMultilevel"/>
    <w:tmpl w:val="722306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image" Target="media/image9.jpeg" /><Relationship Id="rId2" Type="http://schemas.openxmlformats.org/officeDocument/2006/relationships/webSettings" Target="webSettings.xml" /><Relationship Id="rId20" Type="http://schemas.openxmlformats.org/officeDocument/2006/relationships/image" Target="media/image10.jpeg" /><Relationship Id="rId21" Type="http://schemas.openxmlformats.org/officeDocument/2006/relationships/numbering" Target="numbering.xml" /><Relationship Id="rId22"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804</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